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E6" w:rsidRPr="00605EE6" w:rsidRDefault="00605EE6" w:rsidP="00605EE6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05EE6">
        <w:rPr>
          <w:rFonts w:ascii="Arial" w:hAnsi="Arial" w:cs="Arial"/>
          <w:b/>
          <w:i/>
          <w:sz w:val="24"/>
          <w:szCs w:val="24"/>
        </w:rPr>
        <w:t xml:space="preserve">This information must </w:t>
      </w:r>
      <w:proofErr w:type="spellStart"/>
      <w:r w:rsidRPr="00605EE6">
        <w:rPr>
          <w:rFonts w:ascii="Arial" w:hAnsi="Arial" w:cs="Arial"/>
          <w:b/>
          <w:i/>
          <w:sz w:val="24"/>
          <w:szCs w:val="24"/>
        </w:rPr>
        <w:t>provided</w:t>
      </w:r>
      <w:proofErr w:type="spellEnd"/>
      <w:r w:rsidRPr="00605EE6">
        <w:rPr>
          <w:rFonts w:ascii="Arial" w:hAnsi="Arial" w:cs="Arial"/>
          <w:b/>
          <w:i/>
          <w:sz w:val="24"/>
          <w:szCs w:val="24"/>
        </w:rPr>
        <w:t xml:space="preserve"> on business letterhead from a qualified registered accountant.</w:t>
      </w:r>
    </w:p>
    <w:p w:rsidR="00605EE6" w:rsidRPr="00605EE6" w:rsidRDefault="00605EE6" w:rsidP="00605EE6">
      <w:pPr>
        <w:pStyle w:val="NoSpacing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p w:rsidR="00605EE6" w:rsidRPr="00605EE6" w:rsidRDefault="00605EE6" w:rsidP="00605EE6">
      <w:pPr>
        <w:pStyle w:val="NoSpacing"/>
        <w:rPr>
          <w:rFonts w:ascii="Arial" w:hAnsi="Arial" w:cs="Arial"/>
          <w:b/>
          <w:sz w:val="24"/>
          <w:szCs w:val="24"/>
        </w:rPr>
      </w:pPr>
      <w:r w:rsidRPr="00605EE6">
        <w:rPr>
          <w:rFonts w:ascii="Arial" w:hAnsi="Arial" w:cs="Arial"/>
          <w:b/>
          <w:sz w:val="24"/>
          <w:szCs w:val="24"/>
        </w:rPr>
        <w:t>Trading Name of Accountant: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EE6" w:rsidRPr="00605EE6" w:rsidTr="00787BC6">
        <w:tc>
          <w:tcPr>
            <w:tcW w:w="9016" w:type="dxa"/>
          </w:tcPr>
          <w:p w:rsid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  <w:r w:rsidRPr="00605EE6">
        <w:rPr>
          <w:rFonts w:ascii="Arial" w:hAnsi="Arial" w:cs="Arial"/>
          <w:sz w:val="24"/>
          <w:szCs w:val="24"/>
        </w:rPr>
        <w:t>I confirm the following to the best of my knowledge:</w:t>
      </w: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EE6" w:rsidRPr="00605EE6" w:rsidTr="00787BC6">
        <w:tc>
          <w:tcPr>
            <w:tcW w:w="9016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>Name and Address of Applicant Business: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605EE6" w:rsidRPr="00605EE6" w:rsidTr="00605EE6">
        <w:trPr>
          <w:trHeight w:val="285"/>
        </w:trPr>
        <w:tc>
          <w:tcPr>
            <w:tcW w:w="7083" w:type="dxa"/>
            <w:shd w:val="clear" w:color="auto" w:fill="000000" w:themeFill="text1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EE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EE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05EE6" w:rsidRPr="00605EE6" w:rsidTr="00605EE6">
        <w:tc>
          <w:tcPr>
            <w:tcW w:w="70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>The business falls into one of the following categories: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605EE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A business that supplies goods to </w:t>
            </w:r>
            <w:hyperlink r:id="rId7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a business named in the Health Protection Regulations</w:t>
              </w:r>
            </w:hyperlink>
            <w:r w:rsidRPr="00605EE6">
              <w:rPr>
                <w:rFonts w:ascii="Arial" w:hAnsi="Arial" w:cs="Arial"/>
                <w:sz w:val="24"/>
                <w:szCs w:val="24"/>
              </w:rPr>
              <w:t xml:space="preserve">. This includes businesses that supply the goods directly or via a wholesaler or intermediary. </w:t>
            </w:r>
          </w:p>
          <w:p w:rsidR="00605EE6" w:rsidRPr="00605EE6" w:rsidRDefault="00605EE6" w:rsidP="00787BC6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Please note if a food business or drink producer </w:t>
            </w:r>
            <w:proofErr w:type="gramStart"/>
            <w:r w:rsidRPr="00605EE6">
              <w:rPr>
                <w:rFonts w:ascii="Arial" w:hAnsi="Arial" w:cs="Arial"/>
                <w:sz w:val="24"/>
                <w:szCs w:val="24"/>
              </w:rPr>
              <w:t>must be registered</w:t>
            </w:r>
            <w:proofErr w:type="gramEnd"/>
            <w:r w:rsidRPr="00605EE6">
              <w:rPr>
                <w:rFonts w:ascii="Arial" w:hAnsi="Arial" w:cs="Arial"/>
                <w:sz w:val="24"/>
                <w:szCs w:val="24"/>
              </w:rPr>
              <w:t xml:space="preserve"> with its local Council in order to be eligible for support.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605EE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A business that provides services to </w:t>
            </w:r>
            <w:hyperlink r:id="rId8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a business named in the Health Protection Regulations</w:t>
              </w:r>
            </w:hyperlink>
            <w:r w:rsidRPr="00605EE6">
              <w:rPr>
                <w:rFonts w:ascii="Arial" w:hAnsi="Arial" w:cs="Arial"/>
                <w:sz w:val="24"/>
                <w:szCs w:val="24"/>
              </w:rPr>
              <w:t>. This includes businesses that provide the services directly or via a subcontractor.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605EE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A business dependent on </w:t>
            </w:r>
            <w:hyperlink r:id="rId9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a business named in the Health Protection Regulations</w:t>
              </w:r>
            </w:hyperlink>
            <w:r w:rsidRPr="00605EE6">
              <w:rPr>
                <w:rFonts w:ascii="Arial" w:hAnsi="Arial" w:cs="Arial"/>
                <w:sz w:val="24"/>
                <w:szCs w:val="24"/>
              </w:rPr>
              <w:t xml:space="preserve"> being open and fully operational in order for it to operate. For example, businesses that supply services for weddings or events that </w:t>
            </w:r>
            <w:proofErr w:type="gramStart"/>
            <w:r w:rsidRPr="00605EE6">
              <w:rPr>
                <w:rFonts w:ascii="Arial" w:hAnsi="Arial" w:cs="Arial"/>
                <w:sz w:val="24"/>
                <w:szCs w:val="24"/>
              </w:rPr>
              <w:t>have been cancelled or postponed due to the restrictions being in place</w:t>
            </w:r>
            <w:proofErr w:type="gramEnd"/>
            <w:r w:rsidRPr="00605E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6" w:rsidRPr="00605EE6" w:rsidTr="00605EE6">
        <w:tc>
          <w:tcPr>
            <w:tcW w:w="70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>The business is not eligible for the following support: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605EE6">
            <w:pPr>
              <w:pStyle w:val="NoSpacing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Department of Finance </w:t>
            </w:r>
            <w:hyperlink r:id="rId10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Local Restrictions Support Scheme</w:t>
              </w:r>
            </w:hyperlink>
          </w:p>
          <w:p w:rsidR="00605EE6" w:rsidRPr="00605EE6" w:rsidRDefault="00605EE6" w:rsidP="00605EE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Department for the Economy </w:t>
            </w:r>
            <w:hyperlink r:id="rId11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Covid Restrictions Business Support Scheme (Part A)</w:t>
              </w:r>
            </w:hyperlink>
            <w:r w:rsidRPr="00605E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5EE6" w:rsidRPr="00605EE6" w:rsidRDefault="00605EE6" w:rsidP="00605EE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Department for Infrastructure </w:t>
            </w:r>
            <w:hyperlink r:id="rId12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Support Fund for taxi drivers and private coach and bus operators</w:t>
              </w:r>
            </w:hyperlink>
          </w:p>
          <w:p w:rsidR="00605EE6" w:rsidRPr="00605EE6" w:rsidRDefault="00605EE6" w:rsidP="00605EE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Department for Communities </w:t>
            </w:r>
            <w:hyperlink r:id="rId13" w:history="1">
              <w:r w:rsidRPr="00605EE6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Culture, Languages, Arts and Heritage Support Programme</w:t>
              </w:r>
            </w:hyperlink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6" w:rsidRPr="00605EE6" w:rsidTr="00605EE6">
        <w:tc>
          <w:tcPr>
            <w:tcW w:w="70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The business is </w:t>
            </w:r>
            <w:r w:rsidR="004A40A4">
              <w:rPr>
                <w:rFonts w:ascii="Arial" w:hAnsi="Arial" w:cs="Arial"/>
                <w:sz w:val="24"/>
                <w:szCs w:val="24"/>
              </w:rPr>
              <w:t xml:space="preserve">based and </w:t>
            </w:r>
            <w:bookmarkStart w:id="0" w:name="_GoBack"/>
            <w:bookmarkEnd w:id="0"/>
            <w:r w:rsidRPr="00605EE6">
              <w:rPr>
                <w:rFonts w:ascii="Arial" w:hAnsi="Arial" w:cs="Arial"/>
                <w:sz w:val="24"/>
                <w:szCs w:val="24"/>
              </w:rPr>
              <w:t>operating in Northern Ireland.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6" w:rsidRPr="00605EE6" w:rsidTr="00605EE6">
        <w:tc>
          <w:tcPr>
            <w:tcW w:w="70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>The business was trading immediately prior to 16 October 2020.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6" w:rsidRPr="00605EE6" w:rsidTr="00605EE6">
        <w:tc>
          <w:tcPr>
            <w:tcW w:w="70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The business is not a primary producer </w:t>
            </w:r>
            <w:r w:rsidRPr="00605E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i.e. those primarily concerned with crop or animal production or forestry or logging or fisheries or aquaculture</w:t>
            </w:r>
            <w:r w:rsidR="00F249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EE6" w:rsidRPr="00605EE6" w:rsidTr="00605EE6">
        <w:tc>
          <w:tcPr>
            <w:tcW w:w="70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5EE6">
              <w:rPr>
                <w:rFonts w:ascii="Arial" w:hAnsi="Arial" w:cs="Arial"/>
                <w:sz w:val="24"/>
                <w:szCs w:val="24"/>
              </w:rPr>
              <w:t xml:space="preserve">The income lost by the business </w:t>
            </w:r>
            <w:proofErr w:type="gramStart"/>
            <w:r w:rsidRPr="00605EE6">
              <w:rPr>
                <w:rFonts w:ascii="Arial" w:hAnsi="Arial" w:cs="Arial"/>
                <w:sz w:val="24"/>
                <w:szCs w:val="24"/>
              </w:rPr>
              <w:t>as a result</w:t>
            </w:r>
            <w:proofErr w:type="gramEnd"/>
            <w:r w:rsidRPr="00605EE6">
              <w:rPr>
                <w:rFonts w:ascii="Arial" w:hAnsi="Arial" w:cs="Arial"/>
                <w:sz w:val="24"/>
                <w:szCs w:val="24"/>
              </w:rPr>
              <w:t xml:space="preserve"> of the Health Protection Regulations is the main source of income, accounting for &gt;50% of the applicant’s total income.</w:t>
            </w:r>
          </w:p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EE6" w:rsidRPr="00605EE6" w:rsidRDefault="00605EE6" w:rsidP="00787B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  <w:r w:rsidRPr="00605EE6">
        <w:rPr>
          <w:rFonts w:ascii="Arial" w:hAnsi="Arial" w:cs="Arial"/>
          <w:sz w:val="24"/>
          <w:szCs w:val="24"/>
        </w:rPr>
        <w:t>Where you are unable to confirm any of the above, please leave blank.</w:t>
      </w: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  <w:r w:rsidRPr="00605EE6">
        <w:rPr>
          <w:rFonts w:ascii="Arial" w:hAnsi="Arial" w:cs="Arial"/>
          <w:sz w:val="24"/>
          <w:szCs w:val="24"/>
        </w:rPr>
        <w:t>I confirm that I have the power and authority to act on behalf of the Accountant.</w:t>
      </w:r>
    </w:p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605EE6" w:rsidRPr="00605EE6" w:rsidTr="00787BC6">
        <w:tc>
          <w:tcPr>
            <w:tcW w:w="1555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05EE6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05EE6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</w:tblGrid>
      <w:tr w:rsidR="00605EE6" w:rsidRPr="00605EE6" w:rsidTr="00787BC6">
        <w:tc>
          <w:tcPr>
            <w:tcW w:w="1555" w:type="dxa"/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05EE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605EE6" w:rsidRPr="00605EE6" w:rsidRDefault="00605EE6" w:rsidP="00787BC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5EE6" w:rsidRPr="00605EE6" w:rsidRDefault="00605EE6" w:rsidP="00605EE6">
      <w:pPr>
        <w:pStyle w:val="NoSpacing"/>
        <w:rPr>
          <w:rFonts w:ascii="Arial" w:hAnsi="Arial" w:cs="Arial"/>
          <w:sz w:val="24"/>
          <w:szCs w:val="24"/>
        </w:rPr>
      </w:pPr>
    </w:p>
    <w:p w:rsidR="00F943A5" w:rsidRPr="00605EE6" w:rsidRDefault="00F943A5">
      <w:pPr>
        <w:rPr>
          <w:rFonts w:ascii="Arial" w:hAnsi="Arial"/>
        </w:rPr>
      </w:pPr>
    </w:p>
    <w:sectPr w:rsidR="00F943A5" w:rsidRPr="00605EE6" w:rsidSect="00612F58">
      <w:head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C8" w:rsidRDefault="00F21EC8">
      <w:r>
        <w:separator/>
      </w:r>
    </w:p>
  </w:endnote>
  <w:endnote w:type="continuationSeparator" w:id="0">
    <w:p w:rsidR="00F21EC8" w:rsidRDefault="00F2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C8" w:rsidRDefault="00F21EC8">
      <w:r>
        <w:separator/>
      </w:r>
    </w:p>
  </w:footnote>
  <w:footnote w:type="continuationSeparator" w:id="0">
    <w:p w:rsidR="00F21EC8" w:rsidRDefault="00F2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5E" w:rsidRDefault="00F24900">
    <w:pPr>
      <w:pStyle w:val="Header"/>
    </w:pPr>
    <w:r>
      <w:rPr>
        <w:noProof/>
        <w:lang w:eastAsia="en-GB"/>
      </w:rPr>
      <w:drawing>
        <wp:inline distT="0" distB="0" distL="0" distR="0" wp14:anchorId="20F06A12" wp14:editId="4221E817">
          <wp:extent cx="6642100" cy="7493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B5E" w:rsidRDefault="00F2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C8C"/>
    <w:multiLevelType w:val="hybridMultilevel"/>
    <w:tmpl w:val="0E04F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00979"/>
    <w:multiLevelType w:val="hybridMultilevel"/>
    <w:tmpl w:val="1ECE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6"/>
    <w:rsid w:val="002B0E85"/>
    <w:rsid w:val="004A40A4"/>
    <w:rsid w:val="00605EE6"/>
    <w:rsid w:val="008B4184"/>
    <w:rsid w:val="00F21EC8"/>
    <w:rsid w:val="00F24900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D260"/>
  <w15:chartTrackingRefBased/>
  <w15:docId w15:val="{95F098D8-E7C0-41D7-9350-B4907D6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E6"/>
    <w:rPr>
      <w:sz w:val="24"/>
      <w:szCs w:val="24"/>
    </w:rPr>
  </w:style>
  <w:style w:type="table" w:styleId="TableGrid">
    <w:name w:val="Table Grid"/>
    <w:basedOn w:val="TableNormal"/>
    <w:uiPriority w:val="39"/>
    <w:rsid w:val="0060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5E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05EE6"/>
  </w:style>
  <w:style w:type="character" w:styleId="Hyperlink">
    <w:name w:val="Hyperlink"/>
    <w:basedOn w:val="DefaultParagraphFont"/>
    <w:uiPriority w:val="99"/>
    <w:unhideWhenUsed/>
    <w:rsid w:val="00605EE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E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businessinfo.co.uk/crbss-list-closed-businesses" TargetMode="External"/><Relationship Id="rId13" Type="http://schemas.openxmlformats.org/officeDocument/2006/relationships/hyperlink" Target="https://www.communities-ni.gov.uk/articles/funding-arts-culture-and-heritage-sec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businessinfo.co.uk/crbss-list-closed-businesses" TargetMode="External"/><Relationship Id="rId12" Type="http://schemas.openxmlformats.org/officeDocument/2006/relationships/hyperlink" Target="https://www.nibusinessinfo.co.uk/content/coronavirus-support-package-taxi-private-bus-and-coach-sect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businessinfo.co.uk/content/covid-restrictions-business-support-sche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businessinfo.co.uk/content/coronavirus-localised-restrictions-support-sc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businessinfo.co.uk/crbss-list-closed-business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Restrictions Business Support Scheme Part B - Independant Confirmation Checklist (DOC)</dc:title>
  <dc:subject/>
  <dc:creator>Noyona Chundur</dc:creator>
  <cp:keywords/>
  <dc:description/>
  <cp:lastModifiedBy>Noyona Chundur</cp:lastModifiedBy>
  <cp:revision>3</cp:revision>
  <dcterms:created xsi:type="dcterms:W3CDTF">2020-11-18T08:47:00Z</dcterms:created>
  <dcterms:modified xsi:type="dcterms:W3CDTF">2020-11-18T18:00:00Z</dcterms:modified>
</cp:coreProperties>
</file>