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F055" w14:textId="77777777" w:rsidR="00874223" w:rsidRPr="00874223" w:rsidRDefault="00874223" w:rsidP="00874223">
      <w:pPr>
        <w:jc w:val="center"/>
        <w:rPr>
          <w:rFonts w:ascii="Times New Roman" w:hAnsi="Times New Roman"/>
          <w:b/>
          <w:sz w:val="28"/>
        </w:rPr>
      </w:pPr>
      <w:r w:rsidRPr="00874223">
        <w:rPr>
          <w:rFonts w:ascii="Times New Roman" w:hAnsi="Times New Roman"/>
          <w:b/>
          <w:noProof/>
          <w:sz w:val="28"/>
        </w:rPr>
        <w:drawing>
          <wp:inline distT="0" distB="0" distL="0" distR="0" wp14:anchorId="2E9F4FD6" wp14:editId="684E26E8">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1881B710" w14:textId="77777777" w:rsidR="00874223" w:rsidRPr="00874223" w:rsidRDefault="00874223" w:rsidP="00874223">
      <w:pPr>
        <w:keepNext/>
        <w:outlineLvl w:val="4"/>
        <w:rPr>
          <w:b/>
          <w:u w:val="single"/>
        </w:rPr>
      </w:pPr>
    </w:p>
    <w:p w14:paraId="43588D8B" w14:textId="77777777" w:rsidR="00874223" w:rsidRPr="00874223" w:rsidRDefault="00874223" w:rsidP="00874223">
      <w:pPr>
        <w:spacing w:after="240"/>
        <w:ind w:firstLine="720"/>
        <w:jc w:val="center"/>
        <w:rPr>
          <w:rFonts w:cs="Arial"/>
          <w:b/>
          <w:sz w:val="28"/>
          <w:szCs w:val="28"/>
        </w:rPr>
      </w:pPr>
      <w:r w:rsidRPr="00874223">
        <w:rPr>
          <w:rFonts w:cs="Arial"/>
          <w:b/>
          <w:sz w:val="28"/>
          <w:szCs w:val="28"/>
        </w:rPr>
        <w:t>DEPARTMENT FOR THE ECONOMY</w:t>
      </w:r>
    </w:p>
    <w:p w14:paraId="373AF832" w14:textId="77777777" w:rsidR="00874223" w:rsidRPr="00874223" w:rsidRDefault="00874223" w:rsidP="00874223">
      <w:pPr>
        <w:spacing w:after="240"/>
        <w:ind w:left="-425"/>
        <w:jc w:val="center"/>
        <w:rPr>
          <w:rFonts w:cs="Arial"/>
          <w:sz w:val="28"/>
          <w:szCs w:val="28"/>
        </w:rPr>
      </w:pPr>
      <w:r w:rsidRPr="00874223">
        <w:rPr>
          <w:rFonts w:cs="Arial"/>
          <w:b/>
          <w:sz w:val="28"/>
          <w:szCs w:val="28"/>
        </w:rPr>
        <w:t>SECTION 75 EQUALITY OF OPPORTUNITY SCREENING TEMPLATE</w:t>
      </w:r>
    </w:p>
    <w:p w14:paraId="6C5062D0" w14:textId="77777777" w:rsidR="00874223" w:rsidRPr="00874223" w:rsidRDefault="00874223" w:rsidP="00874223">
      <w:pPr>
        <w:spacing w:after="240"/>
        <w:rPr>
          <w:rFonts w:cs="Arial"/>
          <w:sz w:val="28"/>
          <w:szCs w:val="28"/>
        </w:rPr>
      </w:pPr>
      <w:r w:rsidRPr="00874223">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62EBBECB" w14:textId="77777777" w:rsidR="00874223" w:rsidRPr="00874223" w:rsidRDefault="00874223" w:rsidP="00874223">
      <w:pPr>
        <w:spacing w:after="240"/>
        <w:rPr>
          <w:rFonts w:cs="Arial"/>
          <w:sz w:val="28"/>
          <w:szCs w:val="28"/>
        </w:rPr>
      </w:pPr>
      <w:r w:rsidRPr="00874223">
        <w:rPr>
          <w:rFonts w:cs="Arial"/>
          <w:sz w:val="28"/>
          <w:szCs w:val="28"/>
        </w:rPr>
        <w:t>The form will provide a record of the factors taken into account if a policy is screened out, or excluded for EQIA.  It will provide a basis for quarterly consultation on the outcome of the screening exercise, and will be referenced in the biannual review of progress made to the Minister and in the Annual Report to the Equality Commission.</w:t>
      </w:r>
    </w:p>
    <w:p w14:paraId="09036E0E" w14:textId="77777777" w:rsidR="00874223" w:rsidRPr="00874223" w:rsidRDefault="00874223" w:rsidP="00874223">
      <w:pPr>
        <w:rPr>
          <w:sz w:val="28"/>
          <w:szCs w:val="28"/>
        </w:rPr>
      </w:pPr>
      <w:r w:rsidRPr="00874223">
        <w:rPr>
          <w:rFonts w:cs="Arial"/>
          <w:sz w:val="28"/>
          <w:szCs w:val="28"/>
        </w:rPr>
        <w:t xml:space="preserve">Further advice on completion of this form and the screening process including relevant contact information can be accessed via the </w:t>
      </w:r>
      <w:r w:rsidRPr="00874223">
        <w:rPr>
          <w:sz w:val="28"/>
          <w:szCs w:val="28"/>
        </w:rPr>
        <w:t>Department for the Economy (DfE) Intranet site (</w:t>
      </w:r>
      <w:hyperlink r:id="rId12" w:history="1">
        <w:r w:rsidRPr="00874223">
          <w:rPr>
            <w:color w:val="0000FF"/>
            <w:sz w:val="28"/>
            <w:szCs w:val="28"/>
            <w:u w:val="single"/>
          </w:rPr>
          <w:t>DfE Screening</w:t>
        </w:r>
      </w:hyperlink>
      <w:r w:rsidRPr="00874223">
        <w:rPr>
          <w:sz w:val="28"/>
          <w:szCs w:val="28"/>
        </w:rPr>
        <w:t xml:space="preserve">). </w:t>
      </w:r>
    </w:p>
    <w:p w14:paraId="63A1CFAC" w14:textId="77777777" w:rsidR="00874223" w:rsidRPr="00874223" w:rsidRDefault="00874223" w:rsidP="00874223">
      <w:pPr>
        <w:spacing w:after="240"/>
      </w:pPr>
      <w:hyperlink w:history="1"/>
    </w:p>
    <w:p w14:paraId="51A8E95A" w14:textId="77777777" w:rsidR="00874223" w:rsidRPr="00874223" w:rsidRDefault="00874223" w:rsidP="00874223">
      <w:pPr>
        <w:autoSpaceDE w:val="0"/>
        <w:autoSpaceDN w:val="0"/>
        <w:adjustRightInd w:val="0"/>
        <w:jc w:val="both"/>
        <w:rPr>
          <w:rFonts w:cs="Arial"/>
          <w:b/>
          <w:sz w:val="28"/>
          <w:szCs w:val="28"/>
        </w:rPr>
      </w:pPr>
    </w:p>
    <w:p w14:paraId="580D02CD" w14:textId="77777777" w:rsidR="00874223" w:rsidRPr="00874223" w:rsidRDefault="00874223" w:rsidP="00874223">
      <w:pPr>
        <w:autoSpaceDE w:val="0"/>
        <w:autoSpaceDN w:val="0"/>
        <w:adjustRightInd w:val="0"/>
        <w:rPr>
          <w:rFonts w:cs="Arial"/>
          <w:b/>
          <w:sz w:val="28"/>
          <w:szCs w:val="28"/>
        </w:rPr>
      </w:pPr>
      <w:r w:rsidRPr="00874223">
        <w:rPr>
          <w:rFonts w:cs="Arial"/>
          <w:b/>
          <w:sz w:val="28"/>
          <w:szCs w:val="28"/>
        </w:rPr>
        <w:t>Don’t forget to RURAL PROOF -</w:t>
      </w:r>
      <w:r w:rsidRPr="00874223">
        <w:rPr>
          <w:rFonts w:cs="Arial"/>
          <w:sz w:val="28"/>
          <w:szCs w:val="28"/>
        </w:rPr>
        <w:t xml:space="preserve"> see </w:t>
      </w:r>
      <w:hyperlink r:id="rId13" w:history="1">
        <w:r w:rsidRPr="00874223">
          <w:rPr>
            <w:rFonts w:cs="Arial"/>
            <w:color w:val="0000FF"/>
            <w:sz w:val="28"/>
            <w:szCs w:val="28"/>
            <w:u w:val="single"/>
          </w:rPr>
          <w:t>Governance and Accountability Notice 04/20</w:t>
        </w:r>
      </w:hyperlink>
    </w:p>
    <w:p w14:paraId="06315BE7" w14:textId="77777777" w:rsidR="00874223" w:rsidRPr="00874223" w:rsidRDefault="00874223" w:rsidP="00874223">
      <w:pPr>
        <w:autoSpaceDE w:val="0"/>
        <w:autoSpaceDN w:val="0"/>
        <w:adjustRightInd w:val="0"/>
        <w:jc w:val="both"/>
        <w:rPr>
          <w:rFonts w:cs="Arial"/>
          <w:b/>
          <w:sz w:val="28"/>
          <w:szCs w:val="28"/>
        </w:rPr>
      </w:pPr>
      <w:r w:rsidRPr="00874223">
        <w:rPr>
          <w:rFonts w:cs="Arial"/>
          <w:b/>
          <w:sz w:val="28"/>
          <w:szCs w:val="28"/>
        </w:rPr>
        <w:br w:type="page"/>
      </w:r>
    </w:p>
    <w:p w14:paraId="6ED665F3" w14:textId="5307AC1B" w:rsidR="006C4E50" w:rsidRDefault="006C4E50" w:rsidP="006C4E50">
      <w:pPr>
        <w:rPr>
          <w:rFonts w:cs="Arial"/>
          <w:b/>
          <w:sz w:val="28"/>
          <w:szCs w:val="28"/>
        </w:rPr>
      </w:pPr>
      <w:r>
        <w:rPr>
          <w:rFonts w:cs="Arial"/>
          <w:b/>
          <w:sz w:val="28"/>
          <w:szCs w:val="28"/>
        </w:rPr>
        <w:lastRenderedPageBreak/>
        <w:t>Part 1. Policy s</w:t>
      </w:r>
      <w:r w:rsidRPr="00FA0121">
        <w:rPr>
          <w:rFonts w:cs="Arial"/>
          <w:b/>
          <w:sz w:val="28"/>
          <w:szCs w:val="28"/>
        </w:rPr>
        <w:t>coping</w:t>
      </w:r>
    </w:p>
    <w:p w14:paraId="3211FC50" w14:textId="77777777" w:rsidR="006C4E50" w:rsidRPr="00E91D60" w:rsidRDefault="006C4E50" w:rsidP="006C4E50">
      <w:pPr>
        <w:rPr>
          <w:rFonts w:cs="Arial"/>
          <w:b/>
          <w:sz w:val="16"/>
          <w:szCs w:val="16"/>
        </w:rPr>
      </w:pPr>
    </w:p>
    <w:p w14:paraId="7709453A" w14:textId="77777777" w:rsidR="006C4E50" w:rsidRPr="00FA0121" w:rsidRDefault="006C4E50" w:rsidP="006C4E50">
      <w:pPr>
        <w:rPr>
          <w:rFonts w:cs="Arial"/>
          <w:bCs/>
          <w:sz w:val="28"/>
          <w:szCs w:val="28"/>
        </w:rPr>
      </w:pPr>
      <w:r>
        <w:rPr>
          <w:rFonts w:cs="Arial"/>
          <w:bCs/>
          <w:sz w:val="28"/>
          <w:szCs w:val="28"/>
        </w:rPr>
        <w:t>The first stage of the screening process involves scoping the policy under consideration.  The purpose of p</w:t>
      </w:r>
      <w:r w:rsidRPr="00FA0121">
        <w:rPr>
          <w:rFonts w:cs="Arial"/>
          <w:bCs/>
          <w:sz w:val="28"/>
          <w:szCs w:val="28"/>
        </w:rPr>
        <w:t xml:space="preserve">olicy </w:t>
      </w:r>
      <w:r>
        <w:rPr>
          <w:rFonts w:cs="Arial"/>
          <w:bCs/>
          <w:sz w:val="28"/>
          <w:szCs w:val="28"/>
        </w:rPr>
        <w:t>s</w:t>
      </w:r>
      <w:r w:rsidRPr="00FA0121">
        <w:rPr>
          <w:rFonts w:cs="Arial"/>
          <w:bCs/>
          <w:sz w:val="28"/>
          <w:szCs w:val="28"/>
        </w:rPr>
        <w:t>coping is to help prepare the background and context and set out the aims and objectives for the policy</w:t>
      </w:r>
      <w:r>
        <w:rPr>
          <w:rFonts w:cs="Arial"/>
          <w:bCs/>
          <w:sz w:val="28"/>
          <w:szCs w:val="28"/>
        </w:rPr>
        <w:t xml:space="preserve">, </w:t>
      </w:r>
      <w:r w:rsidRPr="00FA0121">
        <w:rPr>
          <w:rFonts w:cs="Arial"/>
          <w:bCs/>
          <w:sz w:val="28"/>
          <w:szCs w:val="28"/>
        </w:rPr>
        <w:t>being screened</w:t>
      </w:r>
      <w:r>
        <w:rPr>
          <w:rFonts w:cs="Arial"/>
          <w:bCs/>
          <w:sz w:val="28"/>
          <w:szCs w:val="28"/>
        </w:rPr>
        <w:t xml:space="preserve">.  At </w:t>
      </w:r>
      <w:r w:rsidRPr="00FA0121">
        <w:rPr>
          <w:rFonts w:cs="Arial"/>
          <w:bCs/>
          <w:sz w:val="28"/>
          <w:szCs w:val="28"/>
        </w:rPr>
        <w:t>this stage, scoping the policy will help identify potential constraints as well as opportunities and</w:t>
      </w:r>
      <w:r>
        <w:rPr>
          <w:rFonts w:cs="Arial"/>
          <w:bCs/>
          <w:sz w:val="28"/>
          <w:szCs w:val="28"/>
        </w:rPr>
        <w:t xml:space="preserve"> will</w:t>
      </w:r>
      <w:r w:rsidRPr="00FA0121">
        <w:rPr>
          <w:rFonts w:cs="Arial"/>
          <w:bCs/>
          <w:sz w:val="28"/>
          <w:szCs w:val="28"/>
        </w:rPr>
        <w:t xml:space="preserve"> help the policy maker </w:t>
      </w:r>
      <w:r>
        <w:rPr>
          <w:rFonts w:cs="Arial"/>
          <w:bCs/>
          <w:sz w:val="28"/>
          <w:szCs w:val="28"/>
        </w:rPr>
        <w:t>work through</w:t>
      </w:r>
      <w:r w:rsidRPr="00FA0121">
        <w:rPr>
          <w:rFonts w:cs="Arial"/>
          <w:bCs/>
          <w:sz w:val="28"/>
          <w:szCs w:val="28"/>
        </w:rPr>
        <w:t xml:space="preserve"> the screening process on a step by step basis.</w:t>
      </w:r>
    </w:p>
    <w:p w14:paraId="39B1BCCE" w14:textId="77777777" w:rsidR="006C4E50" w:rsidRPr="00E91D60" w:rsidRDefault="006C4E50" w:rsidP="006C4E50">
      <w:pPr>
        <w:autoSpaceDE w:val="0"/>
        <w:autoSpaceDN w:val="0"/>
        <w:adjustRightInd w:val="0"/>
        <w:rPr>
          <w:rFonts w:cs="Arial"/>
          <w:sz w:val="16"/>
          <w:szCs w:val="16"/>
        </w:rPr>
      </w:pPr>
    </w:p>
    <w:p w14:paraId="72A4F2B0" w14:textId="77777777" w:rsidR="006C4E50" w:rsidRPr="009F0500" w:rsidRDefault="006C4E50" w:rsidP="006C4E50">
      <w:pPr>
        <w:autoSpaceDE w:val="0"/>
        <w:autoSpaceDN w:val="0"/>
        <w:adjustRightInd w:val="0"/>
        <w:rPr>
          <w:rFonts w:cs="Arial"/>
          <w:sz w:val="28"/>
          <w:szCs w:val="28"/>
        </w:rPr>
      </w:pPr>
      <w:r w:rsidRPr="009F0500">
        <w:rPr>
          <w:rFonts w:cs="Arial"/>
          <w:sz w:val="28"/>
          <w:szCs w:val="28"/>
        </w:rPr>
        <w:t xml:space="preserve">Public authorities should remember that the </w:t>
      </w:r>
      <w:smartTag w:uri="urn:schemas-microsoft-com:office:smarttags" w:element="PersonName">
        <w:r w:rsidRPr="009F0500">
          <w:rPr>
            <w:rFonts w:cs="Arial"/>
            <w:sz w:val="28"/>
            <w:szCs w:val="28"/>
          </w:rPr>
          <w:t>Section 75</w:t>
        </w:r>
      </w:smartTag>
      <w:r w:rsidRPr="009F0500">
        <w:rPr>
          <w:rFonts w:cs="Arial"/>
          <w:sz w:val="28"/>
          <w:szCs w:val="28"/>
        </w:rPr>
        <w:t xml:space="preserve"> statutory duties apply to internal policies (relating to people who work for the authority), as well as external policies (relating to those who are, or could be, served by the authority).</w:t>
      </w:r>
    </w:p>
    <w:p w14:paraId="3CFF518F" w14:textId="77777777" w:rsidR="006C4E50" w:rsidRPr="00E91D60" w:rsidRDefault="006C4E50" w:rsidP="006C4E50">
      <w:pPr>
        <w:rPr>
          <w:rFonts w:cs="Arial"/>
          <w:bCs/>
          <w:sz w:val="16"/>
          <w:szCs w:val="16"/>
        </w:rPr>
      </w:pPr>
    </w:p>
    <w:p w14:paraId="29E8AC19" w14:textId="77777777" w:rsidR="00EC7991" w:rsidRPr="00EC7991" w:rsidRDefault="006C4E50" w:rsidP="006C4E50">
      <w:pPr>
        <w:rPr>
          <w:b/>
          <w:sz w:val="28"/>
          <w:szCs w:val="28"/>
        </w:rPr>
      </w:pPr>
      <w:r w:rsidRPr="00273CCA">
        <w:rPr>
          <w:b/>
          <w:sz w:val="28"/>
          <w:szCs w:val="28"/>
        </w:rPr>
        <w:t xml:space="preserve">Information </w:t>
      </w:r>
      <w:r>
        <w:rPr>
          <w:b/>
          <w:sz w:val="28"/>
          <w:szCs w:val="28"/>
        </w:rPr>
        <w:t>a</w:t>
      </w:r>
      <w:r w:rsidRPr="00273CCA">
        <w:rPr>
          <w:b/>
          <w:sz w:val="28"/>
          <w:szCs w:val="28"/>
        </w:rPr>
        <w:t xml:space="preserve">bout </w:t>
      </w:r>
      <w:r>
        <w:rPr>
          <w:b/>
          <w:sz w:val="28"/>
          <w:szCs w:val="28"/>
        </w:rPr>
        <w:t>t</w:t>
      </w:r>
      <w:r w:rsidRPr="00273CCA">
        <w:rPr>
          <w:b/>
          <w:sz w:val="28"/>
          <w:szCs w:val="28"/>
        </w:rPr>
        <w:t xml:space="preserve">he </w:t>
      </w:r>
      <w:r>
        <w:rPr>
          <w:b/>
          <w:sz w:val="28"/>
          <w:szCs w:val="28"/>
        </w:rPr>
        <w:t>p</w:t>
      </w:r>
      <w:r w:rsidRPr="00273CCA">
        <w:rPr>
          <w:b/>
          <w:sz w:val="28"/>
          <w:szCs w:val="28"/>
        </w:rPr>
        <w:t xml:space="preserve">olicy </w:t>
      </w:r>
    </w:p>
    <w:p w14:paraId="5E1F0A0E" w14:textId="77777777" w:rsidR="00584495" w:rsidRDefault="00584495" w:rsidP="006C4E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928"/>
      </w:tblGrid>
      <w:tr w:rsidR="00584495" w14:paraId="6B855AF0" w14:textId="77777777" w:rsidTr="00831CD6">
        <w:tc>
          <w:tcPr>
            <w:tcW w:w="9928" w:type="dxa"/>
            <w:shd w:val="clear" w:color="auto" w:fill="D9D9D9"/>
          </w:tcPr>
          <w:p w14:paraId="67D1A628" w14:textId="77777777" w:rsidR="00584495" w:rsidRPr="00837F64" w:rsidRDefault="00584495" w:rsidP="006C4E50">
            <w:pPr>
              <w:rPr>
                <w:sz w:val="28"/>
                <w:szCs w:val="28"/>
              </w:rPr>
            </w:pPr>
            <w:r w:rsidRPr="00837F64">
              <w:rPr>
                <w:sz w:val="28"/>
                <w:szCs w:val="28"/>
              </w:rPr>
              <w:t>Name of the policy</w:t>
            </w:r>
          </w:p>
          <w:p w14:paraId="70E03C06" w14:textId="77777777" w:rsidR="00A45752" w:rsidRDefault="00A45752" w:rsidP="006C4E50">
            <w:pPr>
              <w:rPr>
                <w:rFonts w:cs="Arial"/>
                <w:sz w:val="28"/>
                <w:szCs w:val="28"/>
              </w:rPr>
            </w:pPr>
          </w:p>
          <w:p w14:paraId="656B96CE" w14:textId="3EB39B40" w:rsidR="00584495" w:rsidRPr="00837F64" w:rsidRDefault="00323631" w:rsidP="006C4E50">
            <w:pPr>
              <w:rPr>
                <w:sz w:val="28"/>
                <w:szCs w:val="28"/>
              </w:rPr>
            </w:pPr>
            <w:r w:rsidRPr="00323631">
              <w:rPr>
                <w:rFonts w:cs="Arial"/>
                <w:b/>
                <w:bCs/>
                <w:sz w:val="28"/>
                <w:szCs w:val="28"/>
              </w:rPr>
              <w:t xml:space="preserve">Invest NI Draft Baseline Budget Allocation </w:t>
            </w:r>
            <w:r w:rsidR="00D33D3D">
              <w:rPr>
                <w:rFonts w:cs="Arial"/>
                <w:b/>
                <w:bCs/>
                <w:sz w:val="28"/>
                <w:szCs w:val="28"/>
              </w:rPr>
              <w:t>2025/26</w:t>
            </w:r>
            <w:r w:rsidRPr="00323631">
              <w:rPr>
                <w:rFonts w:cs="Arial"/>
                <w:b/>
                <w:bCs/>
                <w:sz w:val="28"/>
                <w:szCs w:val="28"/>
              </w:rPr>
              <w:t xml:space="preserve">  </w:t>
            </w:r>
          </w:p>
        </w:tc>
      </w:tr>
      <w:tr w:rsidR="00584495" w14:paraId="49DC6F2F" w14:textId="77777777" w:rsidTr="00831CD6">
        <w:tc>
          <w:tcPr>
            <w:tcW w:w="9928" w:type="dxa"/>
            <w:shd w:val="clear" w:color="auto" w:fill="D9D9D9"/>
          </w:tcPr>
          <w:p w14:paraId="75FE9DEC" w14:textId="77777777" w:rsidR="00584495" w:rsidRPr="00837F64" w:rsidRDefault="00584495" w:rsidP="006C4E50">
            <w:pPr>
              <w:rPr>
                <w:sz w:val="28"/>
                <w:szCs w:val="28"/>
              </w:rPr>
            </w:pPr>
            <w:r w:rsidRPr="00837F64">
              <w:rPr>
                <w:sz w:val="28"/>
                <w:szCs w:val="28"/>
              </w:rPr>
              <w:t>Is this an existing, revised or a new policy?</w:t>
            </w:r>
          </w:p>
          <w:p w14:paraId="43FD66F0" w14:textId="77777777" w:rsidR="00584495" w:rsidRPr="00837F64" w:rsidRDefault="00584495" w:rsidP="006C4E50">
            <w:pPr>
              <w:rPr>
                <w:sz w:val="28"/>
                <w:szCs w:val="28"/>
              </w:rPr>
            </w:pPr>
          </w:p>
          <w:p w14:paraId="6B62D6EF" w14:textId="77777777" w:rsidR="00584495" w:rsidRPr="00837F64" w:rsidRDefault="002A11DF" w:rsidP="006C4E50">
            <w:pPr>
              <w:rPr>
                <w:sz w:val="28"/>
                <w:szCs w:val="28"/>
              </w:rPr>
            </w:pPr>
            <w:r>
              <w:rPr>
                <w:sz w:val="28"/>
                <w:szCs w:val="28"/>
              </w:rPr>
              <w:t xml:space="preserve">New </w:t>
            </w:r>
          </w:p>
        </w:tc>
      </w:tr>
      <w:tr w:rsidR="00584495" w14:paraId="22D59DFE" w14:textId="77777777" w:rsidTr="008E55F3">
        <w:trPr>
          <w:trHeight w:val="1855"/>
        </w:trPr>
        <w:tc>
          <w:tcPr>
            <w:tcW w:w="9928" w:type="dxa"/>
            <w:shd w:val="clear" w:color="auto" w:fill="D9D9D9"/>
          </w:tcPr>
          <w:p w14:paraId="28A22854" w14:textId="77777777" w:rsidR="00584495" w:rsidRPr="00D43FDF" w:rsidRDefault="00584495" w:rsidP="006C4E50">
            <w:pPr>
              <w:rPr>
                <w:rFonts w:cs="Arial"/>
                <w:sz w:val="28"/>
                <w:szCs w:val="28"/>
              </w:rPr>
            </w:pPr>
            <w:r w:rsidRPr="00D43FDF">
              <w:rPr>
                <w:rFonts w:cs="Arial"/>
                <w:sz w:val="28"/>
                <w:szCs w:val="28"/>
              </w:rPr>
              <w:t xml:space="preserve">What is it trying to achieve? (intended aims/outcomes) </w:t>
            </w:r>
          </w:p>
          <w:p w14:paraId="6FF1F894" w14:textId="77777777" w:rsidR="00A45752" w:rsidRDefault="00A45752">
            <w:pPr>
              <w:rPr>
                <w:rFonts w:cs="Arial"/>
                <w:color w:val="000000"/>
                <w:sz w:val="28"/>
                <w:szCs w:val="28"/>
                <w:lang w:eastAsia="en-GB"/>
              </w:rPr>
            </w:pPr>
          </w:p>
          <w:p w14:paraId="3CE3F912" w14:textId="5C6DC022" w:rsidR="00A45752" w:rsidRPr="00A84827" w:rsidRDefault="00A45752">
            <w:pPr>
              <w:rPr>
                <w:rFonts w:cs="Arial"/>
                <w:sz w:val="28"/>
                <w:szCs w:val="28"/>
              </w:rPr>
            </w:pPr>
            <w:r w:rsidRPr="008E55F3">
              <w:rPr>
                <w:rFonts w:cs="Arial"/>
                <w:color w:val="000000"/>
                <w:sz w:val="28"/>
                <w:szCs w:val="28"/>
                <w:lang w:eastAsia="en-GB"/>
              </w:rPr>
              <w:t xml:space="preserve">An analysis of </w:t>
            </w:r>
            <w:r w:rsidR="000E7377">
              <w:rPr>
                <w:rFonts w:cs="Arial"/>
                <w:color w:val="000000"/>
                <w:sz w:val="28"/>
                <w:szCs w:val="28"/>
                <w:lang w:eastAsia="en-GB"/>
              </w:rPr>
              <w:t xml:space="preserve">the impact of </w:t>
            </w:r>
            <w:r w:rsidRPr="008E55F3">
              <w:rPr>
                <w:rStyle w:val="A0"/>
                <w:rFonts w:cs="Arial"/>
                <w:sz w:val="28"/>
                <w:szCs w:val="28"/>
              </w:rPr>
              <w:t xml:space="preserve">Invest Northern Ireland’s </w:t>
            </w:r>
            <w:r w:rsidR="000E7377">
              <w:rPr>
                <w:rStyle w:val="A0"/>
                <w:rFonts w:cs="Arial"/>
                <w:sz w:val="28"/>
                <w:szCs w:val="28"/>
              </w:rPr>
              <w:t xml:space="preserve">proposed </w:t>
            </w:r>
            <w:r w:rsidR="00EC473B" w:rsidRPr="00896599">
              <w:rPr>
                <w:rStyle w:val="A0"/>
                <w:rFonts w:cs="Arial"/>
                <w:sz w:val="28"/>
                <w:szCs w:val="28"/>
              </w:rPr>
              <w:t xml:space="preserve">budget </w:t>
            </w:r>
            <w:r w:rsidR="00896599" w:rsidRPr="00896599">
              <w:rPr>
                <w:rStyle w:val="A0"/>
                <w:rFonts w:cs="Arial"/>
                <w:sz w:val="28"/>
                <w:szCs w:val="28"/>
              </w:rPr>
              <w:t>(both resource and capital)</w:t>
            </w:r>
            <w:r w:rsidR="00896599">
              <w:rPr>
                <w:rStyle w:val="A0"/>
                <w:rFonts w:cs="Arial"/>
              </w:rPr>
              <w:t xml:space="preserve"> </w:t>
            </w:r>
            <w:r w:rsidR="000E7377">
              <w:rPr>
                <w:rStyle w:val="A0"/>
                <w:rFonts w:cs="Arial"/>
                <w:sz w:val="28"/>
                <w:szCs w:val="28"/>
              </w:rPr>
              <w:t>for</w:t>
            </w:r>
            <w:r w:rsidR="00EC473B" w:rsidRPr="008E55F3">
              <w:rPr>
                <w:rStyle w:val="A0"/>
                <w:rFonts w:cs="Arial"/>
                <w:sz w:val="28"/>
                <w:szCs w:val="28"/>
              </w:rPr>
              <w:t xml:space="preserve"> </w:t>
            </w:r>
            <w:r w:rsidR="000E7377">
              <w:rPr>
                <w:rStyle w:val="A0"/>
                <w:rFonts w:cs="Arial"/>
                <w:sz w:val="28"/>
                <w:szCs w:val="28"/>
              </w:rPr>
              <w:t>2025/2</w:t>
            </w:r>
            <w:r w:rsidR="00A5480F">
              <w:rPr>
                <w:rStyle w:val="A0"/>
                <w:rFonts w:cs="Arial"/>
                <w:sz w:val="28"/>
                <w:szCs w:val="28"/>
              </w:rPr>
              <w:t>6</w:t>
            </w:r>
            <w:r w:rsidRPr="008E55F3">
              <w:rPr>
                <w:rStyle w:val="A0"/>
                <w:rFonts w:cs="Arial"/>
                <w:sz w:val="28"/>
                <w:szCs w:val="28"/>
              </w:rPr>
              <w:t>,</w:t>
            </w:r>
            <w:r w:rsidRPr="008E55F3">
              <w:rPr>
                <w:rFonts w:cs="Arial"/>
                <w:sz w:val="28"/>
                <w:szCs w:val="28"/>
              </w:rPr>
              <w:t xml:space="preserve"> and </w:t>
            </w:r>
            <w:r w:rsidR="000E7377">
              <w:rPr>
                <w:rFonts w:cs="Arial"/>
                <w:sz w:val="28"/>
                <w:szCs w:val="28"/>
              </w:rPr>
              <w:t xml:space="preserve">a preliminary </w:t>
            </w:r>
            <w:r w:rsidRPr="008E55F3">
              <w:rPr>
                <w:rFonts w:cs="Arial"/>
                <w:sz w:val="28"/>
                <w:szCs w:val="28"/>
              </w:rPr>
              <w:t xml:space="preserve">consideration of how </w:t>
            </w:r>
            <w:r w:rsidR="000E7377">
              <w:rPr>
                <w:rFonts w:cs="Arial"/>
                <w:sz w:val="28"/>
                <w:szCs w:val="28"/>
              </w:rPr>
              <w:t>budgetary constraints</w:t>
            </w:r>
            <w:r w:rsidRPr="008E55F3">
              <w:rPr>
                <w:rFonts w:cs="Arial"/>
                <w:sz w:val="28"/>
                <w:szCs w:val="28"/>
              </w:rPr>
              <w:t xml:space="preserve"> may impact on service users</w:t>
            </w:r>
            <w:r w:rsidR="008E55F3" w:rsidRPr="008E55F3">
              <w:rPr>
                <w:rFonts w:cs="Arial"/>
                <w:sz w:val="28"/>
                <w:szCs w:val="28"/>
              </w:rPr>
              <w:t xml:space="preserve"> and staff</w:t>
            </w:r>
            <w:r w:rsidRPr="008E55F3">
              <w:rPr>
                <w:rFonts w:cs="Arial"/>
                <w:sz w:val="28"/>
                <w:szCs w:val="28"/>
              </w:rPr>
              <w:t>.</w:t>
            </w:r>
          </w:p>
          <w:p w14:paraId="10D6FDDC" w14:textId="77777777" w:rsidR="00A45752" w:rsidRPr="00D43FDF" w:rsidRDefault="00A45752" w:rsidP="00D43FDF">
            <w:pPr>
              <w:pStyle w:val="ListParagraph"/>
              <w:ind w:left="0"/>
              <w:jc w:val="both"/>
              <w:rPr>
                <w:rFonts w:cs="Arial"/>
                <w:b/>
                <w:color w:val="A6A6A6"/>
              </w:rPr>
            </w:pPr>
          </w:p>
        </w:tc>
      </w:tr>
      <w:tr w:rsidR="00584495" w14:paraId="5ACD1D59" w14:textId="77777777" w:rsidTr="00831CD6">
        <w:tc>
          <w:tcPr>
            <w:tcW w:w="9928" w:type="dxa"/>
            <w:shd w:val="clear" w:color="auto" w:fill="D9D9D9"/>
          </w:tcPr>
          <w:p w14:paraId="781ACE2B" w14:textId="77777777" w:rsidR="00584495" w:rsidRPr="00837F64" w:rsidRDefault="00584495" w:rsidP="00584495">
            <w:pPr>
              <w:rPr>
                <w:sz w:val="28"/>
                <w:szCs w:val="28"/>
              </w:rPr>
            </w:pPr>
            <w:r w:rsidRPr="00837F64">
              <w:rPr>
                <w:sz w:val="28"/>
                <w:szCs w:val="28"/>
              </w:rPr>
              <w:t xml:space="preserve">Are there any </w:t>
            </w:r>
            <w:smartTag w:uri="urn:schemas-microsoft-com:office:smarttags" w:element="PersonName">
              <w:r w:rsidRPr="00837F64">
                <w:rPr>
                  <w:sz w:val="28"/>
                  <w:szCs w:val="28"/>
                </w:rPr>
                <w:t>Section 75</w:t>
              </w:r>
            </w:smartTag>
            <w:r w:rsidRPr="00837F64">
              <w:rPr>
                <w:sz w:val="28"/>
                <w:szCs w:val="28"/>
              </w:rPr>
              <w:t xml:space="preserve"> categories which might be expected to benefit from the intended policy?</w:t>
            </w:r>
          </w:p>
          <w:p w14:paraId="376450F7" w14:textId="77777777" w:rsidR="00584495" w:rsidRPr="00837F64" w:rsidRDefault="00584495" w:rsidP="00584495">
            <w:pPr>
              <w:rPr>
                <w:sz w:val="28"/>
                <w:szCs w:val="28"/>
              </w:rPr>
            </w:pPr>
            <w:r w:rsidRPr="00837F64">
              <w:rPr>
                <w:sz w:val="28"/>
                <w:szCs w:val="28"/>
              </w:rPr>
              <w:t xml:space="preserve">If so, explain how. </w:t>
            </w:r>
          </w:p>
          <w:p w14:paraId="1E82EBA0" w14:textId="77777777" w:rsidR="00584495" w:rsidRPr="00837F64" w:rsidRDefault="00584495" w:rsidP="00584495">
            <w:pPr>
              <w:rPr>
                <w:sz w:val="28"/>
                <w:szCs w:val="28"/>
              </w:rPr>
            </w:pPr>
          </w:p>
          <w:p w14:paraId="1F960F13" w14:textId="4E086923" w:rsidR="00584495" w:rsidRPr="00BD7787" w:rsidRDefault="00323631" w:rsidP="00584495">
            <w:pPr>
              <w:rPr>
                <w:sz w:val="28"/>
                <w:szCs w:val="28"/>
              </w:rPr>
            </w:pPr>
            <w:r>
              <w:rPr>
                <w:sz w:val="28"/>
                <w:szCs w:val="28"/>
              </w:rPr>
              <w:t>No</w:t>
            </w:r>
            <w:r w:rsidR="00BD7787" w:rsidRPr="00BD7787">
              <w:rPr>
                <w:sz w:val="28"/>
                <w:szCs w:val="28"/>
              </w:rPr>
              <w:t xml:space="preserve">, </w:t>
            </w:r>
            <w:r w:rsidR="009766A6">
              <w:rPr>
                <w:sz w:val="28"/>
                <w:szCs w:val="28"/>
              </w:rPr>
              <w:t xml:space="preserve">while </w:t>
            </w:r>
            <w:r w:rsidR="00965456">
              <w:rPr>
                <w:sz w:val="28"/>
                <w:szCs w:val="28"/>
              </w:rPr>
              <w:t xml:space="preserve">the detail of the </w:t>
            </w:r>
            <w:r w:rsidR="00815231">
              <w:rPr>
                <w:sz w:val="28"/>
                <w:szCs w:val="28"/>
              </w:rPr>
              <w:t xml:space="preserve">budget has yet to be confirmed, it is </w:t>
            </w:r>
            <w:r w:rsidR="00815231" w:rsidRPr="00815231">
              <w:rPr>
                <w:sz w:val="28"/>
                <w:szCs w:val="28"/>
              </w:rPr>
              <w:t>assume</w:t>
            </w:r>
            <w:r w:rsidR="00815231">
              <w:rPr>
                <w:sz w:val="28"/>
                <w:szCs w:val="28"/>
              </w:rPr>
              <w:t>d</w:t>
            </w:r>
            <w:r w:rsidR="00815231" w:rsidRPr="00815231">
              <w:rPr>
                <w:sz w:val="28"/>
                <w:szCs w:val="28"/>
              </w:rPr>
              <w:t xml:space="preserve"> </w:t>
            </w:r>
            <w:r w:rsidR="00815231">
              <w:rPr>
                <w:sz w:val="28"/>
                <w:szCs w:val="28"/>
              </w:rPr>
              <w:t xml:space="preserve">that there will be </w:t>
            </w:r>
            <w:r w:rsidR="00815231" w:rsidRPr="00815231">
              <w:rPr>
                <w:sz w:val="28"/>
                <w:szCs w:val="28"/>
              </w:rPr>
              <w:t xml:space="preserve">a significant reduction in the funding </w:t>
            </w:r>
            <w:r w:rsidR="00815231">
              <w:rPr>
                <w:sz w:val="28"/>
                <w:szCs w:val="28"/>
              </w:rPr>
              <w:t>as required</w:t>
            </w:r>
            <w:r w:rsidR="00815231" w:rsidRPr="00815231">
              <w:rPr>
                <w:sz w:val="28"/>
                <w:szCs w:val="28"/>
              </w:rPr>
              <w:t xml:space="preserve"> to progress the targets </w:t>
            </w:r>
            <w:r w:rsidR="00815231">
              <w:rPr>
                <w:sz w:val="28"/>
                <w:szCs w:val="28"/>
              </w:rPr>
              <w:t>outlined within Invest NI’s</w:t>
            </w:r>
            <w:r w:rsidR="00815231" w:rsidRPr="00815231">
              <w:rPr>
                <w:sz w:val="28"/>
                <w:szCs w:val="28"/>
              </w:rPr>
              <w:t xml:space="preserve"> business plan</w:t>
            </w:r>
            <w:r w:rsidR="00175A77">
              <w:rPr>
                <w:sz w:val="28"/>
                <w:szCs w:val="28"/>
              </w:rPr>
              <w:t>. A</w:t>
            </w:r>
            <w:r w:rsidR="001679A1">
              <w:rPr>
                <w:sz w:val="28"/>
                <w:szCs w:val="28"/>
              </w:rPr>
              <w:t xml:space="preserve"> </w:t>
            </w:r>
            <w:r w:rsidR="00175A77">
              <w:rPr>
                <w:sz w:val="28"/>
                <w:szCs w:val="28"/>
              </w:rPr>
              <w:t>significant</w:t>
            </w:r>
            <w:r w:rsidR="001679A1">
              <w:rPr>
                <w:sz w:val="28"/>
                <w:szCs w:val="28"/>
              </w:rPr>
              <w:t xml:space="preserve"> reduction in the overall budget</w:t>
            </w:r>
            <w:r>
              <w:rPr>
                <w:sz w:val="28"/>
                <w:szCs w:val="28"/>
              </w:rPr>
              <w:t xml:space="preserve"> </w:t>
            </w:r>
            <w:r w:rsidR="00896599">
              <w:rPr>
                <w:sz w:val="28"/>
                <w:szCs w:val="28"/>
              </w:rPr>
              <w:t>is</w:t>
            </w:r>
            <w:r>
              <w:rPr>
                <w:sz w:val="28"/>
                <w:szCs w:val="28"/>
              </w:rPr>
              <w:t xml:space="preserve"> lik</w:t>
            </w:r>
            <w:r w:rsidR="008E55F3">
              <w:rPr>
                <w:sz w:val="28"/>
                <w:szCs w:val="28"/>
              </w:rPr>
              <w:t>e</w:t>
            </w:r>
            <w:r>
              <w:rPr>
                <w:sz w:val="28"/>
                <w:szCs w:val="28"/>
              </w:rPr>
              <w:t xml:space="preserve">ly </w:t>
            </w:r>
            <w:r w:rsidR="008E55F3">
              <w:rPr>
                <w:sz w:val="28"/>
                <w:szCs w:val="28"/>
              </w:rPr>
              <w:t xml:space="preserve">to have a profound effect on Invest NI’s operations and in turn </w:t>
            </w:r>
            <w:r w:rsidR="00BD7787" w:rsidRPr="00BD7787">
              <w:rPr>
                <w:sz w:val="28"/>
                <w:szCs w:val="28"/>
              </w:rPr>
              <w:t xml:space="preserve">the NI economy and </w:t>
            </w:r>
            <w:r w:rsidR="002B3063">
              <w:rPr>
                <w:sz w:val="28"/>
                <w:szCs w:val="28"/>
              </w:rPr>
              <w:t xml:space="preserve">the wellbeing of </w:t>
            </w:r>
            <w:r w:rsidR="00BD7787" w:rsidRPr="00BD7787">
              <w:rPr>
                <w:sz w:val="28"/>
                <w:szCs w:val="28"/>
              </w:rPr>
              <w:t>all its citizens.</w:t>
            </w:r>
          </w:p>
        </w:tc>
      </w:tr>
      <w:tr w:rsidR="00584495" w14:paraId="4C61577D" w14:textId="77777777" w:rsidTr="00831CD6">
        <w:tc>
          <w:tcPr>
            <w:tcW w:w="9928" w:type="dxa"/>
            <w:shd w:val="clear" w:color="auto" w:fill="D9D9D9"/>
          </w:tcPr>
          <w:p w14:paraId="09EBCA2F" w14:textId="77777777" w:rsidR="00584495" w:rsidRPr="00837F64" w:rsidRDefault="00584495" w:rsidP="00584495">
            <w:pPr>
              <w:rPr>
                <w:sz w:val="28"/>
                <w:szCs w:val="28"/>
              </w:rPr>
            </w:pPr>
            <w:r w:rsidRPr="00837F64">
              <w:rPr>
                <w:sz w:val="28"/>
                <w:szCs w:val="28"/>
              </w:rPr>
              <w:t xml:space="preserve">Who initiated or wrote the policy? </w:t>
            </w:r>
          </w:p>
          <w:p w14:paraId="35B8214D" w14:textId="77777777" w:rsidR="00584495" w:rsidRPr="00837F64" w:rsidRDefault="00584495" w:rsidP="00584495">
            <w:pPr>
              <w:rPr>
                <w:sz w:val="28"/>
                <w:szCs w:val="28"/>
              </w:rPr>
            </w:pPr>
          </w:p>
          <w:p w14:paraId="73E25199" w14:textId="71F95EB4" w:rsidR="00584495" w:rsidRPr="00BD7787" w:rsidRDefault="00EC473B" w:rsidP="00584495">
            <w:pPr>
              <w:rPr>
                <w:sz w:val="28"/>
                <w:szCs w:val="28"/>
              </w:rPr>
            </w:pPr>
            <w:r w:rsidRPr="00BD7787">
              <w:rPr>
                <w:sz w:val="28"/>
                <w:szCs w:val="28"/>
              </w:rPr>
              <w:t>Department for the Economy</w:t>
            </w:r>
            <w:r w:rsidR="00495F9F" w:rsidRPr="00BD7787">
              <w:rPr>
                <w:sz w:val="28"/>
                <w:szCs w:val="28"/>
              </w:rPr>
              <w:t xml:space="preserve"> (DfE) has requested scenario planning </w:t>
            </w:r>
            <w:r w:rsidR="00BD7787" w:rsidRPr="00BD7787">
              <w:rPr>
                <w:sz w:val="28"/>
                <w:szCs w:val="28"/>
              </w:rPr>
              <w:t xml:space="preserve">for a rolling baseline budget </w:t>
            </w:r>
            <w:r w:rsidR="00495F9F" w:rsidRPr="00BD7787">
              <w:rPr>
                <w:sz w:val="28"/>
                <w:szCs w:val="28"/>
              </w:rPr>
              <w:t xml:space="preserve">from Invest </w:t>
            </w:r>
            <w:r w:rsidR="00A84827" w:rsidRPr="00BD7787">
              <w:rPr>
                <w:sz w:val="28"/>
                <w:szCs w:val="28"/>
              </w:rPr>
              <w:t>Northern Ireland</w:t>
            </w:r>
            <w:r w:rsidR="00BD7787" w:rsidRPr="00BD7787">
              <w:rPr>
                <w:sz w:val="28"/>
                <w:szCs w:val="28"/>
              </w:rPr>
              <w:t xml:space="preserve"> for </w:t>
            </w:r>
            <w:r w:rsidR="00896599">
              <w:rPr>
                <w:sz w:val="28"/>
                <w:szCs w:val="28"/>
              </w:rPr>
              <w:t>2025</w:t>
            </w:r>
            <w:r w:rsidR="007448F5">
              <w:rPr>
                <w:sz w:val="28"/>
                <w:szCs w:val="28"/>
              </w:rPr>
              <w:t>/26</w:t>
            </w:r>
            <w:r w:rsidR="00BD7787" w:rsidRPr="00BD7787">
              <w:rPr>
                <w:sz w:val="28"/>
                <w:szCs w:val="28"/>
              </w:rPr>
              <w:t>.</w:t>
            </w:r>
          </w:p>
        </w:tc>
      </w:tr>
      <w:tr w:rsidR="00584495" w14:paraId="1C9D97C4" w14:textId="77777777" w:rsidTr="00831CD6">
        <w:tc>
          <w:tcPr>
            <w:tcW w:w="9928" w:type="dxa"/>
            <w:shd w:val="clear" w:color="auto" w:fill="D9D9D9"/>
          </w:tcPr>
          <w:p w14:paraId="4D662875" w14:textId="77777777" w:rsidR="00584495" w:rsidRPr="00837F64" w:rsidRDefault="00584495" w:rsidP="00584495">
            <w:pPr>
              <w:rPr>
                <w:sz w:val="28"/>
                <w:szCs w:val="28"/>
              </w:rPr>
            </w:pPr>
            <w:r w:rsidRPr="00837F64">
              <w:rPr>
                <w:sz w:val="28"/>
                <w:szCs w:val="28"/>
              </w:rPr>
              <w:t>Who owns and who implements the policy?</w:t>
            </w:r>
          </w:p>
          <w:p w14:paraId="632AE65F" w14:textId="77777777" w:rsidR="00584495" w:rsidRPr="00837F64" w:rsidRDefault="00584495" w:rsidP="00584495">
            <w:pPr>
              <w:rPr>
                <w:sz w:val="28"/>
                <w:szCs w:val="28"/>
              </w:rPr>
            </w:pPr>
          </w:p>
          <w:p w14:paraId="7FD4AA7E" w14:textId="73E66A50" w:rsidR="00584495" w:rsidRPr="00837F64" w:rsidRDefault="003C5D01" w:rsidP="003C5D01">
            <w:pPr>
              <w:rPr>
                <w:sz w:val="28"/>
                <w:szCs w:val="28"/>
              </w:rPr>
            </w:pPr>
            <w:r>
              <w:rPr>
                <w:sz w:val="28"/>
                <w:szCs w:val="28"/>
              </w:rPr>
              <w:lastRenderedPageBreak/>
              <w:t>DfE has requested that a</w:t>
            </w:r>
            <w:r w:rsidRPr="003C5D01">
              <w:rPr>
                <w:sz w:val="28"/>
                <w:szCs w:val="28"/>
              </w:rPr>
              <w:t xml:space="preserve">ll business areas </w:t>
            </w:r>
            <w:r>
              <w:rPr>
                <w:sz w:val="28"/>
                <w:szCs w:val="28"/>
              </w:rPr>
              <w:t xml:space="preserve">(including Invest NI) should </w:t>
            </w:r>
            <w:r w:rsidRPr="003C5D01">
              <w:rPr>
                <w:sz w:val="28"/>
                <w:szCs w:val="28"/>
              </w:rPr>
              <w:t xml:space="preserve">screen their budget allocation </w:t>
            </w:r>
            <w:r w:rsidR="007448F5">
              <w:rPr>
                <w:sz w:val="28"/>
                <w:szCs w:val="28"/>
              </w:rPr>
              <w:t xml:space="preserve">(resource and capital) </w:t>
            </w:r>
            <w:r w:rsidRPr="003C5D01">
              <w:rPr>
                <w:sz w:val="28"/>
                <w:szCs w:val="28"/>
              </w:rPr>
              <w:t xml:space="preserve">individually and consider any decisions they will make in </w:t>
            </w:r>
            <w:r w:rsidR="005848EE">
              <w:rPr>
                <w:sz w:val="28"/>
                <w:szCs w:val="28"/>
              </w:rPr>
              <w:t>2025/26</w:t>
            </w:r>
            <w:r w:rsidRPr="003C5D01">
              <w:rPr>
                <w:sz w:val="28"/>
                <w:szCs w:val="28"/>
              </w:rPr>
              <w:t xml:space="preserve"> as a result of their budget allocation which may have an impact on any of the Section 75 equality categories.</w:t>
            </w:r>
            <w:r>
              <w:rPr>
                <w:sz w:val="28"/>
                <w:szCs w:val="28"/>
              </w:rPr>
              <w:t xml:space="preserve"> </w:t>
            </w:r>
            <w:r w:rsidRPr="003C5D01">
              <w:rPr>
                <w:sz w:val="28"/>
                <w:szCs w:val="28"/>
              </w:rPr>
              <w:t xml:space="preserve">Finance Division </w:t>
            </w:r>
            <w:r>
              <w:rPr>
                <w:sz w:val="28"/>
                <w:szCs w:val="28"/>
              </w:rPr>
              <w:t xml:space="preserve">of DfE </w:t>
            </w:r>
            <w:r w:rsidRPr="003C5D01">
              <w:rPr>
                <w:sz w:val="28"/>
                <w:szCs w:val="28"/>
              </w:rPr>
              <w:t>has advised that equality screening should be completed to identify the equality impacts and any potential mitigations of any budget allocations which result in material changes to policy or service delivery.</w:t>
            </w:r>
          </w:p>
        </w:tc>
      </w:tr>
    </w:tbl>
    <w:p w14:paraId="40E2613E" w14:textId="77777777" w:rsidR="003C5D01" w:rsidRDefault="003C5D01" w:rsidP="00EC7991">
      <w:pPr>
        <w:spacing w:after="120"/>
        <w:rPr>
          <w:b/>
          <w:bCs/>
          <w:sz w:val="28"/>
          <w:szCs w:val="28"/>
        </w:rPr>
      </w:pPr>
    </w:p>
    <w:p w14:paraId="227A38C6" w14:textId="77777777" w:rsidR="00655E21" w:rsidRPr="001919BE" w:rsidRDefault="00655E21" w:rsidP="00655E21">
      <w:pPr>
        <w:rPr>
          <w:b/>
          <w:bCs/>
        </w:rPr>
      </w:pPr>
      <w:r>
        <w:rPr>
          <w:b/>
          <w:bCs/>
        </w:rPr>
        <w:t xml:space="preserve">Invest NI </w:t>
      </w:r>
      <w:r w:rsidRPr="001919BE">
        <w:rPr>
          <w:b/>
          <w:bCs/>
        </w:rPr>
        <w:t>Budget Allocation – Impact Assessment</w:t>
      </w:r>
    </w:p>
    <w:p w14:paraId="45E0BAED" w14:textId="77777777" w:rsidR="00655E21" w:rsidRDefault="00655E21" w:rsidP="00655E21"/>
    <w:p w14:paraId="596FFC60" w14:textId="77777777" w:rsidR="00655E21" w:rsidRPr="008851EA" w:rsidRDefault="00655E21" w:rsidP="00655E21">
      <w:pPr>
        <w:tabs>
          <w:tab w:val="left" w:pos="567"/>
        </w:tabs>
        <w:rPr>
          <w:b/>
          <w:bCs/>
        </w:rPr>
      </w:pPr>
      <w:r w:rsidRPr="008851EA">
        <w:rPr>
          <w:b/>
          <w:bCs/>
        </w:rPr>
        <w:t xml:space="preserve">What impacts </w:t>
      </w:r>
      <w:r>
        <w:rPr>
          <w:b/>
          <w:bCs/>
        </w:rPr>
        <w:t xml:space="preserve">Budget </w:t>
      </w:r>
      <w:r w:rsidRPr="008851EA">
        <w:rPr>
          <w:b/>
          <w:bCs/>
        </w:rPr>
        <w:t>Spend?</w:t>
      </w:r>
    </w:p>
    <w:p w14:paraId="3831C664" w14:textId="77777777" w:rsidR="00655E21" w:rsidRDefault="00655E21" w:rsidP="00655E21">
      <w:pPr>
        <w:tabs>
          <w:tab w:val="left" w:pos="567"/>
        </w:tabs>
      </w:pPr>
    </w:p>
    <w:p w14:paraId="6894CA29" w14:textId="77777777" w:rsidR="00655E21" w:rsidRDefault="00655E21" w:rsidP="00655E21">
      <w:pPr>
        <w:tabs>
          <w:tab w:val="left" w:pos="567"/>
        </w:tabs>
      </w:pPr>
      <w:r>
        <w:t>Before we look specifically at each budget area, it is important to remember some key consistent points that apply across the management of our budget.</w:t>
      </w:r>
    </w:p>
    <w:p w14:paraId="2F1C6CF3" w14:textId="77777777" w:rsidR="00655E21" w:rsidRDefault="00655E21" w:rsidP="00655E21">
      <w:pPr>
        <w:tabs>
          <w:tab w:val="left" w:pos="567"/>
        </w:tabs>
        <w:ind w:left="567" w:hanging="567"/>
      </w:pPr>
    </w:p>
    <w:p w14:paraId="708C68E3" w14:textId="77777777" w:rsidR="00655E21" w:rsidRPr="00CA1B44" w:rsidRDefault="00655E21" w:rsidP="00655E21">
      <w:pPr>
        <w:pStyle w:val="ListParagraph"/>
        <w:numPr>
          <w:ilvl w:val="0"/>
          <w:numId w:val="19"/>
        </w:numPr>
        <w:tabs>
          <w:tab w:val="left" w:pos="567"/>
        </w:tabs>
        <w:ind w:left="567" w:hanging="567"/>
        <w:rPr>
          <w:rFonts w:ascii="Arial" w:hAnsi="Arial"/>
        </w:rPr>
      </w:pPr>
      <w:r>
        <w:rPr>
          <w:rFonts w:ascii="Arial" w:hAnsi="Arial"/>
        </w:rPr>
        <w:t>Firstly, many of Invest NI’s strategic interventions are multi-year in nature.  Assistance is offered across a three to five year time period with it drawn down when agreed economic objectives are achieved, with the achievement of these objectives vouched and approved.  Effectively, this approach has been developed and refined through the years to ensure that money is only spent when the economic benefit is accrued.</w:t>
      </w:r>
    </w:p>
    <w:p w14:paraId="55A0B8A9" w14:textId="77777777" w:rsidR="00655E21" w:rsidRDefault="00655E21" w:rsidP="00655E21">
      <w:pPr>
        <w:tabs>
          <w:tab w:val="left" w:pos="567"/>
        </w:tabs>
        <w:ind w:left="567" w:hanging="567"/>
      </w:pPr>
    </w:p>
    <w:p w14:paraId="11D91053" w14:textId="77777777" w:rsidR="00655E21" w:rsidRDefault="00655E21" w:rsidP="00655E21">
      <w:pPr>
        <w:tabs>
          <w:tab w:val="left" w:pos="567"/>
        </w:tabs>
        <w:ind w:left="567" w:hanging="567"/>
      </w:pPr>
      <w:r>
        <w:t>(ii).</w:t>
      </w:r>
      <w:r>
        <w:tab/>
        <w:t>This has created the scenario where each of the interventions we operate has a unique draw-down profile.  This is effectively the timescale over which grant is drawn-down by a Client against that intervention.  For example, for our more strategic programmes, draw-down is extended over a number of years, with spend in Year 1 typically being c10%, before increasing to c30% in Year 2, and c25% in Year 3, before falling again in further years.  Smaller programmes will usually involve full expenditure in Year 1.</w:t>
      </w:r>
    </w:p>
    <w:p w14:paraId="4F540D54" w14:textId="77777777" w:rsidR="00655E21" w:rsidRDefault="00655E21" w:rsidP="00655E21">
      <w:pPr>
        <w:tabs>
          <w:tab w:val="left" w:pos="567"/>
        </w:tabs>
        <w:ind w:left="567" w:hanging="567"/>
      </w:pPr>
    </w:p>
    <w:p w14:paraId="66902CCD" w14:textId="77777777" w:rsidR="00655E21" w:rsidRDefault="00655E21" w:rsidP="00655E21">
      <w:pPr>
        <w:tabs>
          <w:tab w:val="left" w:pos="567"/>
        </w:tabs>
        <w:ind w:left="567"/>
      </w:pPr>
      <w:r>
        <w:t>You will be aware from when Invest NI paused activity, a reduction in that year across our strategic programmes created a lagged impact in subsequent years.  Effectively we felt the impact over the next 24-36 months.  This is a logical outworking of the draw-down profiles mentioned at the start.  That is, when we reduce or stop activity we do not just feel the impact of stopping the 10% expenditure in Year 1 immediately, but also the impact in future years of ramping up expenditure to 30% and 25% in Years 2 &amp; 3 respectively.</w:t>
      </w:r>
    </w:p>
    <w:p w14:paraId="441393C8" w14:textId="77777777" w:rsidR="00655E21" w:rsidRDefault="00655E21" w:rsidP="00655E21">
      <w:pPr>
        <w:tabs>
          <w:tab w:val="left" w:pos="567"/>
        </w:tabs>
        <w:ind w:left="567" w:hanging="567"/>
      </w:pPr>
    </w:p>
    <w:p w14:paraId="3E193B4B" w14:textId="77777777" w:rsidR="00655E21" w:rsidRDefault="00655E21" w:rsidP="00655E21">
      <w:pPr>
        <w:tabs>
          <w:tab w:val="left" w:pos="567"/>
        </w:tabs>
        <w:ind w:left="567" w:hanging="567"/>
      </w:pPr>
      <w:r>
        <w:t>(iii).</w:t>
      </w:r>
      <w:r>
        <w:tab/>
        <w:t>We monitor and evaluate each of our programmes to calculate a projected cost benefit return for each £1 of assistance we offer.  This is essentially an estimation of expected full investment return in the wider economy from each £1 of assistance we offer based on historic activity over the previous 5 years.  This can fluctuate from over £16:£1 to a more interventionist position of £1:£1, depending upon the nature of the individual intervention.  Therefore where we cut can greatly affect the final impact to the economy.</w:t>
      </w:r>
    </w:p>
    <w:p w14:paraId="69048BB4" w14:textId="77777777" w:rsidR="00655E21" w:rsidRDefault="00655E21" w:rsidP="00655E21">
      <w:pPr>
        <w:tabs>
          <w:tab w:val="left" w:pos="567"/>
        </w:tabs>
        <w:ind w:left="567" w:hanging="567"/>
      </w:pPr>
    </w:p>
    <w:p w14:paraId="6E7061F6" w14:textId="77777777" w:rsidR="00655E21" w:rsidRDefault="00655E21" w:rsidP="00655E21">
      <w:pPr>
        <w:tabs>
          <w:tab w:val="left" w:pos="567"/>
        </w:tabs>
        <w:ind w:left="567" w:hanging="567"/>
      </w:pPr>
      <w:r>
        <w:t>(iv).</w:t>
      </w:r>
      <w:r>
        <w:tab/>
        <w:t xml:space="preserve">As part of the Independent Review of Invest NI, we have assessed all our programmes against Ministerial and Strategic priorities and objectives to ensure that they are delivering effectively.  This included assessing their economic impact, but also wide </w:t>
      </w:r>
      <w:r>
        <w:lastRenderedPageBreak/>
        <w:t>social and policy impacts.  Whilst pure economic returns are important, sometimes activity that returns less economic impact can be critical from a policy implementation perspective.  A good example of this is many of our sub-regional and entrepreneurship interventions.  Economic return is perhaps limited in the short term, but the activity is absolutely key and fundamental to driving longer term benefits and impacts.</w:t>
      </w:r>
    </w:p>
    <w:p w14:paraId="686B17F2" w14:textId="77777777" w:rsidR="00655E21" w:rsidRDefault="00655E21" w:rsidP="00655E21"/>
    <w:p w14:paraId="6F82893C" w14:textId="77777777" w:rsidR="00655E21" w:rsidRDefault="00655E21" w:rsidP="00655E21"/>
    <w:p w14:paraId="5ABE0BCB" w14:textId="77777777" w:rsidR="00655E21" w:rsidRPr="001919BE" w:rsidRDefault="00655E21" w:rsidP="00655E21">
      <w:pPr>
        <w:rPr>
          <w:b/>
          <w:bCs/>
        </w:rPr>
      </w:pPr>
      <w:bookmarkStart w:id="0" w:name="_Hlk190334502"/>
      <w:r w:rsidRPr="001919BE">
        <w:rPr>
          <w:b/>
          <w:bCs/>
        </w:rPr>
        <w:t>Resource Allocation</w:t>
      </w:r>
    </w:p>
    <w:p w14:paraId="47D75418" w14:textId="77777777" w:rsidR="00655E21" w:rsidRDefault="00655E21" w:rsidP="00655E21"/>
    <w:p w14:paraId="2AC20565" w14:textId="77777777" w:rsidR="00655E21" w:rsidRDefault="00655E21" w:rsidP="00655E21">
      <w:r>
        <w:t>In our revised draft opening 2025/26 Resource Baseline Budget we have been allocated £73.5m against a prudent demand forecast by Invest NI of £80.1m.</w:t>
      </w:r>
    </w:p>
    <w:p w14:paraId="7055C403" w14:textId="77777777" w:rsidR="00655E21" w:rsidRDefault="00655E21" w:rsidP="00655E21"/>
    <w:p w14:paraId="254D9C81" w14:textId="77777777" w:rsidR="00655E21" w:rsidRDefault="00655E21" w:rsidP="00655E21">
      <w:r>
        <w:t xml:space="preserve">The main components of which are (a) £34.4m in salaries and (b) £37.1m in our resource budget control total (£36.1m Resource Budget + £1.0m Loan Interest Payable + Lease Interest Payment).  </w:t>
      </w:r>
    </w:p>
    <w:p w14:paraId="2D79CC9E" w14:textId="77777777" w:rsidR="00655E21" w:rsidRDefault="00655E21" w:rsidP="00655E21"/>
    <w:p w14:paraId="34AB9560" w14:textId="77777777" w:rsidR="00655E21" w:rsidRDefault="00655E21" w:rsidP="00655E21">
      <w:r>
        <w:t>The remaining c£2.0m is admin of £4.6m and receipts of (£2.6m).  Whilst we will seek opportunities to maximise efficiencies in these areas, in reality, given the scale and nature of this budget, these are likely to be minimal at best.</w:t>
      </w:r>
    </w:p>
    <w:p w14:paraId="358E64C2" w14:textId="77777777" w:rsidR="00655E21" w:rsidRDefault="00655E21" w:rsidP="00655E21"/>
    <w:p w14:paraId="32BC3AFF" w14:textId="77777777" w:rsidR="00655E21" w:rsidRPr="008F4DF6" w:rsidRDefault="00655E21" w:rsidP="00655E21">
      <w:pPr>
        <w:pStyle w:val="ListParagraph"/>
        <w:numPr>
          <w:ilvl w:val="0"/>
          <w:numId w:val="18"/>
        </w:numPr>
        <w:ind w:hanging="720"/>
        <w:rPr>
          <w:rFonts w:ascii="Arial" w:hAnsi="Arial"/>
          <w:b/>
          <w:bCs/>
        </w:rPr>
      </w:pPr>
      <w:r w:rsidRPr="008F4DF6">
        <w:rPr>
          <w:rFonts w:ascii="Arial" w:hAnsi="Arial"/>
          <w:b/>
          <w:bCs/>
        </w:rPr>
        <w:t>Salaries Budget</w:t>
      </w:r>
      <w:r>
        <w:rPr>
          <w:rFonts w:ascii="Arial" w:hAnsi="Arial"/>
          <w:b/>
          <w:bCs/>
        </w:rPr>
        <w:t xml:space="preserve"> – £34.4m</w:t>
      </w:r>
    </w:p>
    <w:p w14:paraId="7A301E47" w14:textId="77777777" w:rsidR="00655E21" w:rsidRDefault="00655E21" w:rsidP="00655E21"/>
    <w:p w14:paraId="23067B3D" w14:textId="77777777" w:rsidR="00655E21" w:rsidRPr="009856AD" w:rsidRDefault="00655E21" w:rsidP="00655E21">
      <w:r>
        <w:t xml:space="preserve">With regards to our salaries budget, we have made significant commitments to staff up in specific functions and add additional skills to Invest NI to meet the Minister’s objectives.  Indeed, in some areas, such as our sub-regional approach, we will be </w:t>
      </w:r>
      <w:r w:rsidRPr="0050534B">
        <w:t xml:space="preserve">required to staff up to manage the development of Local Economic Plans with limited initial direct impact on Invest NI programmes.  It will be challenging to live within this allocation.  However, </w:t>
      </w:r>
      <w:r w:rsidRPr="009856AD">
        <w:t xml:space="preserve">we are currently </w:t>
      </w:r>
      <w:r w:rsidRPr="0050534B">
        <w:t xml:space="preserve">drilling down into individual budget lines </w:t>
      </w:r>
      <w:r>
        <w:t>t</w:t>
      </w:r>
      <w:r w:rsidRPr="0050534B">
        <w:t>o develop options to present these to our Executive and Board to agree final prioritisations and allocations of funds within the full resource budget.</w:t>
      </w:r>
    </w:p>
    <w:p w14:paraId="4AB286EF" w14:textId="77777777" w:rsidR="00655E21" w:rsidRPr="0050534B" w:rsidRDefault="00655E21" w:rsidP="00655E21"/>
    <w:p w14:paraId="3DEF6C5F" w14:textId="77777777" w:rsidR="00655E21" w:rsidRDefault="00655E21" w:rsidP="00655E21">
      <w:r w:rsidRPr="0050534B">
        <w:t>Further detail on just how and where we will adjust our staffing, will be developed when we have an agreed, precise resource budget options position.</w:t>
      </w:r>
    </w:p>
    <w:p w14:paraId="251D416B" w14:textId="77777777" w:rsidR="00655E21" w:rsidRDefault="00655E21" w:rsidP="00655E21"/>
    <w:p w14:paraId="6E637598" w14:textId="77777777" w:rsidR="00655E21" w:rsidRPr="00F526BF" w:rsidRDefault="00655E21" w:rsidP="00655E21">
      <w:pPr>
        <w:pStyle w:val="ListParagraph"/>
        <w:numPr>
          <w:ilvl w:val="0"/>
          <w:numId w:val="18"/>
        </w:numPr>
        <w:ind w:hanging="720"/>
        <w:rPr>
          <w:rFonts w:ascii="Arial" w:hAnsi="Arial"/>
          <w:b/>
          <w:bCs/>
        </w:rPr>
      </w:pPr>
      <w:r w:rsidRPr="00F526BF">
        <w:rPr>
          <w:rFonts w:ascii="Arial" w:hAnsi="Arial"/>
          <w:b/>
          <w:bCs/>
        </w:rPr>
        <w:t>Resource Budget</w:t>
      </w:r>
      <w:r>
        <w:rPr>
          <w:rFonts w:ascii="Arial" w:hAnsi="Arial"/>
          <w:b/>
          <w:bCs/>
        </w:rPr>
        <w:t xml:space="preserve"> – £37.1m</w:t>
      </w:r>
    </w:p>
    <w:p w14:paraId="78A32C3F" w14:textId="77777777" w:rsidR="00655E21" w:rsidRDefault="00655E21" w:rsidP="00655E21"/>
    <w:p w14:paraId="26E5599C" w14:textId="77777777" w:rsidR="00655E21" w:rsidRDefault="00655E21" w:rsidP="00655E21">
      <w:r>
        <w:t>Moving to the resource budget line, you will be aware that our budget bid each year effectively seeks an allocation to cover: (</w:t>
      </w:r>
      <w:proofErr w:type="spellStart"/>
      <w:r>
        <w:t>i</w:t>
      </w:r>
      <w:proofErr w:type="spellEnd"/>
      <w:r>
        <w:t>). legally committed expenditure against historic letters of offer (payments in line with legally-binding contracts signed with businesses in previous years, against the achievement of agreed economic project milestones) and (ii). expenditure against new business.</w:t>
      </w:r>
    </w:p>
    <w:p w14:paraId="47AB7EBA" w14:textId="77777777" w:rsidR="00655E21" w:rsidRDefault="00655E21" w:rsidP="00655E21"/>
    <w:p w14:paraId="1929833C" w14:textId="77777777" w:rsidR="00655E21" w:rsidRDefault="00655E21" w:rsidP="00655E21">
      <w:pPr>
        <w:tabs>
          <w:tab w:val="left" w:pos="567"/>
        </w:tabs>
        <w:ind w:left="567" w:hanging="567"/>
      </w:pPr>
      <w:r>
        <w:t>(</w:t>
      </w:r>
      <w:proofErr w:type="spellStart"/>
      <w:r>
        <w:t>i</w:t>
      </w:r>
      <w:proofErr w:type="spellEnd"/>
      <w:r>
        <w:t>).</w:t>
      </w:r>
      <w:r>
        <w:tab/>
        <w:t>Our ability to adjust our legally binding commitments is limited.  This relates solely to the speed at which businesses deliver against agreed objectives.  However, for the purposes of budget planning and management, we usually build in provision for slippage, ensuring that we do not ‘over-bid for budget’.  Therefore, our ability to free up commitments is limited.</w:t>
      </w:r>
    </w:p>
    <w:p w14:paraId="689C4A38" w14:textId="77777777" w:rsidR="00655E21" w:rsidRDefault="00655E21" w:rsidP="00655E21">
      <w:pPr>
        <w:tabs>
          <w:tab w:val="left" w:pos="567"/>
        </w:tabs>
        <w:ind w:left="567" w:hanging="567"/>
      </w:pPr>
    </w:p>
    <w:p w14:paraId="4ED833BD" w14:textId="77777777" w:rsidR="00655E21" w:rsidRDefault="00655E21" w:rsidP="00655E21">
      <w:pPr>
        <w:tabs>
          <w:tab w:val="left" w:pos="567"/>
        </w:tabs>
        <w:ind w:left="567" w:hanging="567"/>
      </w:pPr>
      <w:r>
        <w:lastRenderedPageBreak/>
        <w:t>(ii).</w:t>
      </w:r>
      <w:r>
        <w:tab/>
        <w:t>The new business budget effectively represents our projected spend costs for the upcoming year for the activity that we plan to deliver to achieve our annual business plan targets in that year.  In other words, the achievement of our business plan targets is directly linked to the availability of budget for new business.</w:t>
      </w:r>
    </w:p>
    <w:p w14:paraId="5745BAFE" w14:textId="77777777" w:rsidR="00655E21" w:rsidRDefault="00655E21" w:rsidP="00655E21">
      <w:pPr>
        <w:tabs>
          <w:tab w:val="left" w:pos="567"/>
        </w:tabs>
        <w:ind w:left="567"/>
      </w:pPr>
    </w:p>
    <w:p w14:paraId="29237A3E" w14:textId="77777777" w:rsidR="00655E21" w:rsidRDefault="00655E21" w:rsidP="00655E21">
      <w:pPr>
        <w:tabs>
          <w:tab w:val="left" w:pos="567"/>
        </w:tabs>
        <w:ind w:left="567"/>
      </w:pPr>
      <w:r>
        <w:t>As part of our business planning for our new Business Strategy, we have set 3 year targets that we have broken down in to individual annual business plan targets.  Our 2025/26 budget is designed to pay towards Year 1 costs of activity for investments secured during this financial year.  Put simply, it will not be possible to achieve our Business Strategy targets without access to sufficient resource budget for 2025/26 (Year 2 of the 3 year plan).  This includes those areas identified as Ministerial and strategic priorities.</w:t>
      </w:r>
    </w:p>
    <w:p w14:paraId="51155970" w14:textId="77777777" w:rsidR="00655E21" w:rsidRDefault="00655E21" w:rsidP="00655E21">
      <w:pPr>
        <w:tabs>
          <w:tab w:val="left" w:pos="567"/>
        </w:tabs>
        <w:ind w:left="567"/>
      </w:pPr>
    </w:p>
    <w:p w14:paraId="3B151161" w14:textId="77777777" w:rsidR="00655E21" w:rsidRDefault="00655E21" w:rsidP="00655E21">
      <w:pPr>
        <w:tabs>
          <w:tab w:val="left" w:pos="567"/>
        </w:tabs>
        <w:ind w:left="567"/>
      </w:pPr>
      <w:r>
        <w:t>Finally, as noted in the introductory context, reductions in any one year, continue to be felt moving forward as subsequent ramped up expenditure does not materialise.</w:t>
      </w:r>
    </w:p>
    <w:p w14:paraId="32487B19" w14:textId="77777777" w:rsidR="00655E21" w:rsidRDefault="00655E21" w:rsidP="00655E21">
      <w:pPr>
        <w:tabs>
          <w:tab w:val="left" w:pos="567"/>
        </w:tabs>
        <w:ind w:left="567"/>
      </w:pPr>
    </w:p>
    <w:p w14:paraId="21A74527" w14:textId="77777777" w:rsidR="00655E21" w:rsidRPr="006244B6" w:rsidRDefault="00655E21" w:rsidP="00655E21">
      <w:pPr>
        <w:tabs>
          <w:tab w:val="left" w:pos="567"/>
        </w:tabs>
        <w:rPr>
          <w:b/>
          <w:bCs/>
        </w:rPr>
      </w:pPr>
      <w:r w:rsidRPr="006244B6">
        <w:rPr>
          <w:b/>
          <w:bCs/>
        </w:rPr>
        <w:t>Largest Spend Areas</w:t>
      </w:r>
    </w:p>
    <w:p w14:paraId="29149F31" w14:textId="77777777" w:rsidR="00655E21" w:rsidRDefault="00655E21" w:rsidP="00655E21">
      <w:pPr>
        <w:tabs>
          <w:tab w:val="left" w:pos="567"/>
        </w:tabs>
      </w:pPr>
    </w:p>
    <w:p w14:paraId="172BF338" w14:textId="77777777" w:rsidR="00655E21" w:rsidRDefault="00655E21" w:rsidP="00655E21">
      <w:pPr>
        <w:tabs>
          <w:tab w:val="left" w:pos="567"/>
        </w:tabs>
      </w:pPr>
      <w:r>
        <w:t>Looking at our resource budget, it is important to consider the primary programme spend areas (ranked in order of magnitude of budget) that are linked directly to our strategic objectives and targets:</w:t>
      </w:r>
    </w:p>
    <w:p w14:paraId="0C1E6BB6" w14:textId="77777777" w:rsidR="00655E21" w:rsidRDefault="00655E21" w:rsidP="00655E21">
      <w:pPr>
        <w:tabs>
          <w:tab w:val="left" w:pos="567"/>
        </w:tabs>
        <w:ind w:left="567"/>
      </w:pPr>
    </w:p>
    <w:p w14:paraId="0616D9B9" w14:textId="77777777" w:rsidR="00655E21" w:rsidRDefault="00655E21" w:rsidP="00655E21">
      <w:pPr>
        <w:tabs>
          <w:tab w:val="left" w:pos="567"/>
        </w:tabs>
        <w:ind w:left="567" w:hanging="567"/>
      </w:pPr>
      <w:r>
        <w:t>(</w:t>
      </w:r>
      <w:proofErr w:type="spellStart"/>
      <w:r>
        <w:t>i</w:t>
      </w:r>
      <w:proofErr w:type="spellEnd"/>
      <w:r>
        <w:t>).</w:t>
      </w:r>
      <w:r>
        <w:tab/>
        <w:t>Trade and Overseas Offices;</w:t>
      </w:r>
    </w:p>
    <w:p w14:paraId="35AB2EF4" w14:textId="77777777" w:rsidR="00655E21" w:rsidRDefault="00655E21" w:rsidP="00655E21">
      <w:pPr>
        <w:tabs>
          <w:tab w:val="left" w:pos="567"/>
        </w:tabs>
        <w:ind w:left="567" w:hanging="567"/>
      </w:pPr>
      <w:r>
        <w:t>(ii).</w:t>
      </w:r>
      <w:r>
        <w:tab/>
        <w:t>Employment (Local Companies – New to Invest NI; Local Companies – Expansions; External Companies – New to NI; and, External Companies – Expansions);</w:t>
      </w:r>
    </w:p>
    <w:p w14:paraId="03350895" w14:textId="77777777" w:rsidR="00655E21" w:rsidRDefault="00655E21" w:rsidP="00655E21">
      <w:pPr>
        <w:tabs>
          <w:tab w:val="left" w:pos="567"/>
        </w:tabs>
        <w:ind w:left="567" w:hanging="567"/>
      </w:pPr>
      <w:r>
        <w:t>(iii).</w:t>
      </w:r>
      <w:r>
        <w:tab/>
        <w:t>Skills &amp; Leadership;</w:t>
      </w:r>
    </w:p>
    <w:p w14:paraId="2496E99D" w14:textId="77777777" w:rsidR="00655E21" w:rsidRDefault="00655E21" w:rsidP="00655E21">
      <w:pPr>
        <w:tabs>
          <w:tab w:val="left" w:pos="567"/>
        </w:tabs>
        <w:ind w:left="567" w:hanging="567"/>
      </w:pPr>
      <w:r>
        <w:t>(iv).</w:t>
      </w:r>
      <w:r>
        <w:tab/>
        <w:t>Access to Finance &amp; Property Solutions;</w:t>
      </w:r>
    </w:p>
    <w:p w14:paraId="4C8CE954" w14:textId="77777777" w:rsidR="00655E21" w:rsidRDefault="00655E21" w:rsidP="00655E21">
      <w:pPr>
        <w:tabs>
          <w:tab w:val="left" w:pos="567"/>
        </w:tabs>
        <w:ind w:left="567" w:hanging="567"/>
      </w:pPr>
      <w:r>
        <w:t>(v).</w:t>
      </w:r>
      <w:r>
        <w:tab/>
        <w:t>Marketing and Communications;</w:t>
      </w:r>
    </w:p>
    <w:p w14:paraId="54E01C52" w14:textId="77777777" w:rsidR="00655E21" w:rsidRDefault="00655E21" w:rsidP="00655E21">
      <w:pPr>
        <w:tabs>
          <w:tab w:val="left" w:pos="567"/>
        </w:tabs>
        <w:ind w:left="567" w:hanging="567"/>
      </w:pPr>
      <w:r>
        <w:t>(vi).</w:t>
      </w:r>
      <w:r>
        <w:tab/>
        <w:t xml:space="preserve">Innovation, Research &amp; Development; </w:t>
      </w:r>
    </w:p>
    <w:p w14:paraId="34AB69B4" w14:textId="77777777" w:rsidR="00655E21" w:rsidRDefault="00655E21" w:rsidP="00655E21">
      <w:pPr>
        <w:tabs>
          <w:tab w:val="left" w:pos="567"/>
        </w:tabs>
        <w:ind w:left="567" w:hanging="567"/>
      </w:pPr>
      <w:r>
        <w:t>(vii).</w:t>
      </w:r>
      <w:r>
        <w:tab/>
        <w:t>Entrepreneurship; and,</w:t>
      </w:r>
    </w:p>
    <w:p w14:paraId="2F02F828" w14:textId="77777777" w:rsidR="00655E21" w:rsidRDefault="00655E21" w:rsidP="00655E21">
      <w:pPr>
        <w:tabs>
          <w:tab w:val="left" w:pos="567"/>
        </w:tabs>
        <w:ind w:left="567" w:hanging="567"/>
      </w:pPr>
      <w:r>
        <w:t>(viii).</w:t>
      </w:r>
      <w:r>
        <w:tab/>
        <w:t>Other smaller scale programmes.</w:t>
      </w:r>
    </w:p>
    <w:p w14:paraId="1FF6E13D" w14:textId="77777777" w:rsidR="00655E21" w:rsidRDefault="00655E21" w:rsidP="00655E21">
      <w:pPr>
        <w:tabs>
          <w:tab w:val="left" w:pos="567"/>
        </w:tabs>
        <w:ind w:left="567"/>
      </w:pPr>
    </w:p>
    <w:p w14:paraId="5D2B984E" w14:textId="77777777" w:rsidR="00655E21" w:rsidRDefault="00655E21" w:rsidP="00655E21">
      <w:pPr>
        <w:tabs>
          <w:tab w:val="left" w:pos="567"/>
        </w:tabs>
      </w:pPr>
      <w:r>
        <w:t xml:space="preserve">Our three largest resource spend areas, which relate to what we would call our strategic programmes, are Trade and Overseas Offices; Employment and Skills and Leadership.  </w:t>
      </w:r>
    </w:p>
    <w:p w14:paraId="6C7EDC8C" w14:textId="77777777" w:rsidR="00655E21" w:rsidRDefault="00655E21" w:rsidP="00655E21">
      <w:pPr>
        <w:tabs>
          <w:tab w:val="left" w:pos="567"/>
        </w:tabs>
      </w:pPr>
    </w:p>
    <w:p w14:paraId="59DFDC7F" w14:textId="77777777" w:rsidR="00655E21" w:rsidRDefault="00655E21" w:rsidP="00655E21">
      <w:pPr>
        <w:tabs>
          <w:tab w:val="left" w:pos="567"/>
        </w:tabs>
      </w:pPr>
      <w:r>
        <w:t>At present we are currently drilling down into individual budget lines and investments to develop costed options to present these to our Executive and Board to agree final prioritisations and allocations of funds.  As such, we cannot at this time produce precise impact statements on final budget allocations.  Instead, what we have done, is estimate an average impact across the resource budget.  However, it should be noted that this will vary when we look at individual budget lines as: (</w:t>
      </w:r>
      <w:proofErr w:type="spellStart"/>
      <w:r>
        <w:t>i</w:t>
      </w:r>
      <w:proofErr w:type="spellEnd"/>
      <w:r>
        <w:t>). the economic returns on individual programmes can differ greatly; and (ii). the future year-on-year impacts can also differ significantly.</w:t>
      </w:r>
    </w:p>
    <w:p w14:paraId="7C1AD4DE" w14:textId="77777777" w:rsidR="00655E21" w:rsidRDefault="00655E21" w:rsidP="00655E21">
      <w:pPr>
        <w:tabs>
          <w:tab w:val="left" w:pos="567"/>
        </w:tabs>
      </w:pPr>
    </w:p>
    <w:p w14:paraId="2C653599" w14:textId="77777777" w:rsidR="00655E21" w:rsidRDefault="00655E21" w:rsidP="00655E21">
      <w:pPr>
        <w:tabs>
          <w:tab w:val="left" w:pos="567"/>
        </w:tabs>
      </w:pPr>
      <w:r>
        <w:t>Across all our resource programmes, our average draw-down profile is 10% in Year 1, 30% in Year 2, and 25% in Year 3.  We have factored this into our estimated impacts below.</w:t>
      </w:r>
    </w:p>
    <w:p w14:paraId="41C5E641" w14:textId="77777777" w:rsidR="00655E21" w:rsidRDefault="00655E21" w:rsidP="00655E21">
      <w:pPr>
        <w:tabs>
          <w:tab w:val="left" w:pos="567"/>
        </w:tabs>
      </w:pPr>
    </w:p>
    <w:bookmarkEnd w:id="0"/>
    <w:p w14:paraId="601F23E1" w14:textId="77777777" w:rsidR="00655E21" w:rsidRDefault="00655E21" w:rsidP="00655E21">
      <w:pPr>
        <w:tabs>
          <w:tab w:val="left" w:pos="567"/>
        </w:tabs>
      </w:pPr>
    </w:p>
    <w:p w14:paraId="5F21E3BA" w14:textId="77777777" w:rsidR="00655E21" w:rsidRPr="001919BE" w:rsidRDefault="00655E21" w:rsidP="00655E21">
      <w:pPr>
        <w:rPr>
          <w:b/>
          <w:bCs/>
        </w:rPr>
      </w:pPr>
      <w:r>
        <w:rPr>
          <w:b/>
          <w:bCs/>
        </w:rPr>
        <w:lastRenderedPageBreak/>
        <w:t>Capital</w:t>
      </w:r>
      <w:r w:rsidRPr="001919BE">
        <w:rPr>
          <w:b/>
          <w:bCs/>
        </w:rPr>
        <w:t xml:space="preserve"> Allocation</w:t>
      </w:r>
    </w:p>
    <w:p w14:paraId="322A343B" w14:textId="77777777" w:rsidR="00655E21" w:rsidRDefault="00655E21" w:rsidP="00655E21"/>
    <w:p w14:paraId="18229739" w14:textId="77777777" w:rsidR="00655E21" w:rsidRDefault="00655E21" w:rsidP="00655E21">
      <w:r>
        <w:t>In our revised draft opening 2025/26 Capital Baseline Budget (excluding FTC Receipts) we have been allocated £41.8m.</w:t>
      </w:r>
    </w:p>
    <w:p w14:paraId="02102CBE" w14:textId="77777777" w:rsidR="00655E21" w:rsidRDefault="00655E21" w:rsidP="00655E21"/>
    <w:p w14:paraId="41912FFE" w14:textId="77777777" w:rsidR="00655E21" w:rsidRDefault="00655E21" w:rsidP="00655E21">
      <w:r>
        <w:t>The main components of which are (a) FTC Capital of £6.8m; (b) Complementary Fund Capital (RF Spend) of £3.0m; (c) Base Capital of £44.3m; and, (d) A capital receipts line of -£12.3m.  This equates to the overall total Capital baseline allocation of £41.8m net.</w:t>
      </w:r>
    </w:p>
    <w:p w14:paraId="79EAFB3D" w14:textId="77777777" w:rsidR="00655E21" w:rsidRDefault="00655E21" w:rsidP="00655E21"/>
    <w:p w14:paraId="46B54D71" w14:textId="77777777" w:rsidR="00655E21" w:rsidRPr="00D66883" w:rsidRDefault="00655E21" w:rsidP="00655E21">
      <w:pPr>
        <w:pStyle w:val="ListParagraph"/>
        <w:numPr>
          <w:ilvl w:val="0"/>
          <w:numId w:val="20"/>
        </w:numPr>
        <w:ind w:hanging="720"/>
        <w:rPr>
          <w:rFonts w:ascii="Arial" w:hAnsi="Arial"/>
          <w:b/>
          <w:bCs/>
        </w:rPr>
      </w:pPr>
      <w:r>
        <w:rPr>
          <w:rFonts w:ascii="Arial" w:hAnsi="Arial"/>
          <w:b/>
          <w:bCs/>
        </w:rPr>
        <w:t>FTC Spend</w:t>
      </w:r>
      <w:r w:rsidRPr="00D66883">
        <w:rPr>
          <w:rFonts w:ascii="Arial" w:hAnsi="Arial"/>
          <w:b/>
          <w:bCs/>
        </w:rPr>
        <w:t xml:space="preserve"> – £</w:t>
      </w:r>
      <w:r>
        <w:rPr>
          <w:rFonts w:ascii="Arial" w:hAnsi="Arial"/>
          <w:b/>
          <w:bCs/>
        </w:rPr>
        <w:t>6.8</w:t>
      </w:r>
      <w:r w:rsidRPr="00D66883">
        <w:rPr>
          <w:rFonts w:ascii="Arial" w:hAnsi="Arial"/>
          <w:b/>
          <w:bCs/>
        </w:rPr>
        <w:t>m</w:t>
      </w:r>
    </w:p>
    <w:p w14:paraId="3468D2AD" w14:textId="77777777" w:rsidR="00655E21" w:rsidRDefault="00655E21" w:rsidP="00655E21"/>
    <w:p w14:paraId="3466FC88" w14:textId="77777777" w:rsidR="00655E21" w:rsidRDefault="00655E21" w:rsidP="00655E21">
      <w:r>
        <w:t>This relates to FTC allocated to our Access to Finance programmes.  As there is also a base capital allocation for this activity, and potentially additional FTC available in 2025/26, it is prudent to investigate utilising additional FTC to cover more Access to Finance spend in 2025/26.  We have visibility of potentially over £20m of spend against Access to Finance in 2025/26.  Transferring budget between FTC and base capital has the potential to free-up baseline capital to be utilised against other priorities.  A request has already been sent to DfE in relation to taking this option forward.</w:t>
      </w:r>
    </w:p>
    <w:p w14:paraId="6DF2C465" w14:textId="77777777" w:rsidR="00655E21" w:rsidRDefault="00655E21" w:rsidP="00655E21"/>
    <w:p w14:paraId="1565527A" w14:textId="77777777" w:rsidR="00655E21" w:rsidRPr="00F526BF" w:rsidRDefault="00655E21" w:rsidP="00655E21">
      <w:pPr>
        <w:pStyle w:val="ListParagraph"/>
        <w:numPr>
          <w:ilvl w:val="0"/>
          <w:numId w:val="20"/>
        </w:numPr>
        <w:ind w:hanging="720"/>
        <w:rPr>
          <w:rFonts w:ascii="Arial" w:hAnsi="Arial"/>
          <w:b/>
          <w:bCs/>
        </w:rPr>
      </w:pPr>
      <w:r>
        <w:rPr>
          <w:rFonts w:ascii="Arial" w:hAnsi="Arial"/>
          <w:b/>
          <w:bCs/>
        </w:rPr>
        <w:t>Complementary Fund Capital – £3.0m</w:t>
      </w:r>
    </w:p>
    <w:p w14:paraId="6B19C87E" w14:textId="77777777" w:rsidR="00655E21" w:rsidRDefault="00655E21" w:rsidP="00655E21"/>
    <w:p w14:paraId="572D7020" w14:textId="77777777" w:rsidR="00655E21" w:rsidRDefault="00655E21" w:rsidP="00655E21">
      <w:r>
        <w:t xml:space="preserve">This relates to activity under the City &amp; Growth Deals and Complementary funds.  This is ring-fenced activity.  The majority of this budget is allocated for the Digital Transformation Flexible Fund, with a small element for other capital activity.  Activity will need to be managed with our collaborative partners to stay within allocation.  </w:t>
      </w:r>
    </w:p>
    <w:p w14:paraId="05335A43" w14:textId="77777777" w:rsidR="00655E21" w:rsidRDefault="00655E21" w:rsidP="00655E21"/>
    <w:p w14:paraId="1E1A7FA1" w14:textId="77777777" w:rsidR="00655E21" w:rsidRPr="00334985" w:rsidRDefault="00655E21" w:rsidP="00655E21">
      <w:pPr>
        <w:pStyle w:val="ListParagraph"/>
        <w:numPr>
          <w:ilvl w:val="0"/>
          <w:numId w:val="20"/>
        </w:numPr>
        <w:ind w:hanging="720"/>
        <w:rPr>
          <w:rFonts w:ascii="Arial" w:hAnsi="Arial"/>
          <w:b/>
          <w:bCs/>
        </w:rPr>
      </w:pPr>
      <w:r w:rsidRPr="00334985">
        <w:rPr>
          <w:rFonts w:ascii="Arial" w:hAnsi="Arial"/>
          <w:b/>
          <w:bCs/>
        </w:rPr>
        <w:t>Base Capital – £44.3m</w:t>
      </w:r>
    </w:p>
    <w:p w14:paraId="799EFB4F" w14:textId="77777777" w:rsidR="00655E21" w:rsidRDefault="00655E21" w:rsidP="00655E21"/>
    <w:p w14:paraId="631BEBE6" w14:textId="77777777" w:rsidR="00655E21" w:rsidRDefault="00655E21" w:rsidP="00655E21">
      <w:r>
        <w:t>Moving to the base capital line, whilst we do not technically have a guaranteed baseline capital budget (as capital is zero based), similar to our resource budget, our capital budget demand each year seeks to cover: (</w:t>
      </w:r>
      <w:proofErr w:type="spellStart"/>
      <w:r>
        <w:t>i</w:t>
      </w:r>
      <w:proofErr w:type="spellEnd"/>
      <w:r>
        <w:t>). legally committed expenditure against historic letters of offer; and, (ii). expenditure against new business.</w:t>
      </w:r>
    </w:p>
    <w:p w14:paraId="4135CD77" w14:textId="77777777" w:rsidR="00655E21" w:rsidRDefault="00655E21" w:rsidP="00655E21"/>
    <w:p w14:paraId="4818322F" w14:textId="77777777" w:rsidR="00655E21" w:rsidRDefault="00655E21" w:rsidP="00655E21">
      <w:pPr>
        <w:tabs>
          <w:tab w:val="left" w:pos="567"/>
        </w:tabs>
        <w:ind w:left="567" w:hanging="567"/>
      </w:pPr>
      <w:r>
        <w:t>(</w:t>
      </w:r>
      <w:proofErr w:type="spellStart"/>
      <w:r>
        <w:t>i</w:t>
      </w:r>
      <w:proofErr w:type="spellEnd"/>
      <w:r>
        <w:t>).</w:t>
      </w:r>
      <w:r>
        <w:tab/>
        <w:t>Again, as with our resource budget, our ability to adjust our legally binding commitments is limited.  This relates solely to the speed at which businesses deliver against agreed objectives.  However, for the purposes of budget planning and management, we usually build in provision for slippage, to ensure we do not ‘over bid for budget’.  Therefore, our ability to free up commitments is limited.</w:t>
      </w:r>
    </w:p>
    <w:p w14:paraId="634A1AC0" w14:textId="77777777" w:rsidR="00655E21" w:rsidRDefault="00655E21" w:rsidP="00655E21">
      <w:pPr>
        <w:tabs>
          <w:tab w:val="left" w:pos="567"/>
        </w:tabs>
        <w:ind w:left="567" w:hanging="567"/>
      </w:pPr>
    </w:p>
    <w:p w14:paraId="2CF1243F" w14:textId="77777777" w:rsidR="00655E21" w:rsidRDefault="00655E21" w:rsidP="00655E21">
      <w:pPr>
        <w:tabs>
          <w:tab w:val="left" w:pos="567"/>
        </w:tabs>
        <w:ind w:left="567" w:hanging="567"/>
      </w:pPr>
      <w:r>
        <w:t>(ii).</w:t>
      </w:r>
      <w:r>
        <w:tab/>
        <w:t>The new business budget effectively represents our projected spend costs for the upcoming year for capital activity that we plan to deliver to achieve our annual business plan targets in that year.  In other words, the achievement of our business plan targets is directly linked to the availability of budget for new business.</w:t>
      </w:r>
    </w:p>
    <w:p w14:paraId="3A085F53" w14:textId="77777777" w:rsidR="00655E21" w:rsidRDefault="00655E21" w:rsidP="00655E21">
      <w:pPr>
        <w:tabs>
          <w:tab w:val="left" w:pos="567"/>
        </w:tabs>
        <w:ind w:left="567"/>
      </w:pPr>
    </w:p>
    <w:p w14:paraId="6E3DD634" w14:textId="77777777" w:rsidR="00655E21" w:rsidRDefault="00655E21" w:rsidP="00655E21">
      <w:pPr>
        <w:tabs>
          <w:tab w:val="left" w:pos="567"/>
        </w:tabs>
        <w:ind w:left="567"/>
      </w:pPr>
      <w:r>
        <w:t xml:space="preserve">As with resource, where 3 year Business Strategy targets against capital activity has been set, we have broken these down in to individual annual business plan targets.  Our 2025/26 budget is designed to pay towards Year 1 costs of activity for investments secured during this financial year.  Put simply, it will not be possible to achieve our wider </w:t>
      </w:r>
      <w:r>
        <w:lastRenderedPageBreak/>
        <w:t>Business Strategy targets without access to sufficient capital budget for 2025/26 (Year 2 of the 3 year plan).  This includes those areas identified as Ministerial and strategic priorities.</w:t>
      </w:r>
    </w:p>
    <w:p w14:paraId="554F8E0A" w14:textId="77777777" w:rsidR="00655E21" w:rsidRDefault="00655E21" w:rsidP="00655E21">
      <w:pPr>
        <w:tabs>
          <w:tab w:val="left" w:pos="567"/>
        </w:tabs>
        <w:ind w:left="567"/>
      </w:pPr>
    </w:p>
    <w:p w14:paraId="6808E6EE" w14:textId="77777777" w:rsidR="00655E21" w:rsidRDefault="00655E21" w:rsidP="00655E21">
      <w:pPr>
        <w:tabs>
          <w:tab w:val="left" w:pos="567"/>
        </w:tabs>
        <w:ind w:left="567"/>
      </w:pPr>
      <w:r>
        <w:t>Finally, as noted in the introductory context, reductions in any one year, continue to be felt moving forward as subsequent ramped up expenditure does not materialise.</w:t>
      </w:r>
    </w:p>
    <w:p w14:paraId="3890155F" w14:textId="77777777" w:rsidR="00655E21" w:rsidRDefault="00655E21" w:rsidP="00655E21">
      <w:pPr>
        <w:tabs>
          <w:tab w:val="left" w:pos="567"/>
        </w:tabs>
        <w:ind w:left="567"/>
      </w:pPr>
    </w:p>
    <w:p w14:paraId="0A90C059" w14:textId="77777777" w:rsidR="00655E21" w:rsidRPr="006244B6" w:rsidRDefault="00655E21" w:rsidP="00655E21">
      <w:pPr>
        <w:tabs>
          <w:tab w:val="left" w:pos="567"/>
        </w:tabs>
        <w:rPr>
          <w:b/>
          <w:bCs/>
        </w:rPr>
      </w:pPr>
      <w:r w:rsidRPr="006244B6">
        <w:rPr>
          <w:b/>
          <w:bCs/>
        </w:rPr>
        <w:t>Largest Spend Areas</w:t>
      </w:r>
    </w:p>
    <w:p w14:paraId="6E2FB9D8" w14:textId="77777777" w:rsidR="00655E21" w:rsidRDefault="00655E21" w:rsidP="00655E21">
      <w:pPr>
        <w:tabs>
          <w:tab w:val="left" w:pos="567"/>
        </w:tabs>
      </w:pPr>
    </w:p>
    <w:p w14:paraId="37F9976B" w14:textId="77777777" w:rsidR="00655E21" w:rsidRDefault="00655E21" w:rsidP="00655E21">
      <w:pPr>
        <w:tabs>
          <w:tab w:val="left" w:pos="567"/>
        </w:tabs>
      </w:pPr>
      <w:r>
        <w:t>Looking at our base capital budget, it is important to consider the primary spend areas (ranked in order of magnitude of budget) that are linked directly to our strategic objectives and targets:</w:t>
      </w:r>
    </w:p>
    <w:p w14:paraId="7D32B8C3" w14:textId="77777777" w:rsidR="00655E21" w:rsidRDefault="00655E21" w:rsidP="00655E21">
      <w:pPr>
        <w:tabs>
          <w:tab w:val="left" w:pos="567"/>
        </w:tabs>
        <w:ind w:left="567"/>
      </w:pPr>
    </w:p>
    <w:p w14:paraId="1DE70954" w14:textId="77777777" w:rsidR="00655E21" w:rsidRDefault="00655E21" w:rsidP="00655E21">
      <w:pPr>
        <w:tabs>
          <w:tab w:val="left" w:pos="567"/>
        </w:tabs>
        <w:ind w:left="567" w:hanging="567"/>
      </w:pPr>
      <w:r>
        <w:t>(</w:t>
      </w:r>
      <w:proofErr w:type="spellStart"/>
      <w:r>
        <w:t>i</w:t>
      </w:r>
      <w:proofErr w:type="spellEnd"/>
      <w:r>
        <w:t>).</w:t>
      </w:r>
      <w:r>
        <w:tab/>
        <w:t>Innovation, Research &amp; Development;</w:t>
      </w:r>
    </w:p>
    <w:p w14:paraId="435D91FD" w14:textId="77777777" w:rsidR="00655E21" w:rsidRDefault="00655E21" w:rsidP="00655E21">
      <w:pPr>
        <w:tabs>
          <w:tab w:val="left" w:pos="567"/>
        </w:tabs>
        <w:ind w:left="567" w:hanging="567"/>
      </w:pPr>
      <w:r>
        <w:t>(ii).</w:t>
      </w:r>
      <w:r>
        <w:tab/>
        <w:t>Access to Finance – baseline;</w:t>
      </w:r>
    </w:p>
    <w:p w14:paraId="77B672C5" w14:textId="77777777" w:rsidR="00655E21" w:rsidRDefault="00655E21" w:rsidP="00655E21">
      <w:pPr>
        <w:tabs>
          <w:tab w:val="left" w:pos="567"/>
        </w:tabs>
        <w:ind w:left="567" w:hanging="567"/>
      </w:pPr>
      <w:r>
        <w:t>(iii).</w:t>
      </w:r>
      <w:r>
        <w:tab/>
        <w:t>Agri Food Investment Initiative (AFII) and SFA Productivity;</w:t>
      </w:r>
    </w:p>
    <w:p w14:paraId="2D5DE3EE" w14:textId="77777777" w:rsidR="00655E21" w:rsidRDefault="00655E21" w:rsidP="00655E21">
      <w:pPr>
        <w:tabs>
          <w:tab w:val="left" w:pos="567"/>
        </w:tabs>
        <w:ind w:left="567" w:hanging="567"/>
      </w:pPr>
      <w:r>
        <w:t>(iv).</w:t>
      </w:r>
      <w:r>
        <w:tab/>
        <w:t>Resource and Energy Efficiency Capital Grant;</w:t>
      </w:r>
    </w:p>
    <w:p w14:paraId="05FDFEC0" w14:textId="77777777" w:rsidR="00655E21" w:rsidRDefault="00655E21" w:rsidP="00655E21">
      <w:pPr>
        <w:tabs>
          <w:tab w:val="left" w:pos="567"/>
        </w:tabs>
        <w:ind w:left="567" w:hanging="567"/>
      </w:pPr>
      <w:r>
        <w:t>(v).</w:t>
      </w:r>
      <w:r>
        <w:tab/>
        <w:t>Property Acquisition and Development;</w:t>
      </w:r>
    </w:p>
    <w:p w14:paraId="7C22C4B1" w14:textId="77777777" w:rsidR="00655E21" w:rsidRDefault="00655E21" w:rsidP="00655E21">
      <w:pPr>
        <w:tabs>
          <w:tab w:val="left" w:pos="567"/>
        </w:tabs>
        <w:ind w:left="567" w:hanging="567"/>
      </w:pPr>
      <w:r>
        <w:t>(vi).</w:t>
      </w:r>
      <w:r>
        <w:tab/>
        <w:t>Leases;</w:t>
      </w:r>
    </w:p>
    <w:p w14:paraId="5CE0BC4D" w14:textId="77777777" w:rsidR="00655E21" w:rsidRDefault="00655E21" w:rsidP="00655E21">
      <w:pPr>
        <w:tabs>
          <w:tab w:val="left" w:pos="567"/>
        </w:tabs>
        <w:ind w:left="567" w:hanging="567"/>
      </w:pPr>
      <w:r>
        <w:t>(vii).</w:t>
      </w:r>
      <w:r>
        <w:tab/>
        <w:t>City &amp; Growth Deal aligned expenditure; and,</w:t>
      </w:r>
    </w:p>
    <w:p w14:paraId="34A4B582" w14:textId="77777777" w:rsidR="00655E21" w:rsidRDefault="00655E21" w:rsidP="00655E21">
      <w:pPr>
        <w:tabs>
          <w:tab w:val="left" w:pos="567"/>
        </w:tabs>
        <w:ind w:left="567" w:hanging="567"/>
      </w:pPr>
      <w:r>
        <w:t>(viii).</w:t>
      </w:r>
      <w:r>
        <w:tab/>
        <w:t>Other Capital.</w:t>
      </w:r>
    </w:p>
    <w:p w14:paraId="2DD40668" w14:textId="77777777" w:rsidR="00655E21" w:rsidRDefault="00655E21" w:rsidP="00655E21">
      <w:pPr>
        <w:tabs>
          <w:tab w:val="left" w:pos="567"/>
        </w:tabs>
        <w:ind w:left="567"/>
      </w:pPr>
    </w:p>
    <w:p w14:paraId="3A0696E1" w14:textId="77777777" w:rsidR="00655E21" w:rsidRDefault="00655E21" w:rsidP="00655E21">
      <w:pPr>
        <w:tabs>
          <w:tab w:val="left" w:pos="567"/>
        </w:tabs>
      </w:pPr>
      <w:r>
        <w:t>Our three largest base capital spend areas, which relate to what we would call our strategic programmes, are Innovation, Research &amp; Development; Access to Finance; and, AFII and Productivity.  Each have been identified as Ministerial and Strategic priorities.</w:t>
      </w:r>
    </w:p>
    <w:p w14:paraId="29D6FA13" w14:textId="77777777" w:rsidR="00655E21" w:rsidRDefault="00655E21" w:rsidP="00655E21">
      <w:pPr>
        <w:tabs>
          <w:tab w:val="left" w:pos="567"/>
        </w:tabs>
      </w:pPr>
    </w:p>
    <w:p w14:paraId="3744778E" w14:textId="77777777" w:rsidR="00655E21" w:rsidRDefault="00655E21" w:rsidP="00655E21">
      <w:pPr>
        <w:tabs>
          <w:tab w:val="left" w:pos="567"/>
        </w:tabs>
      </w:pPr>
      <w:r>
        <w:t>Similar to our resource budget, at present we are currently drilling down into individual budget lines and are investigating potential further sources of funds to allow us to develop costed options to present to our Executive and Board to agree final prioritisations and allocations of capital funds.  As such, we cannot at this time produce precise impact statements on final budget allocations.  Instead, what we have done, is estimate an average impact across the capital budget.  However, it should be noted that this will vary when we look at individual budget lines as: (</w:t>
      </w:r>
      <w:proofErr w:type="spellStart"/>
      <w:r>
        <w:t>i</w:t>
      </w:r>
      <w:proofErr w:type="spellEnd"/>
      <w:r>
        <w:t>). the economic returns on individual programmes can differ greatly; and (ii). the future year-on-year impacts can also differ significantly.</w:t>
      </w:r>
    </w:p>
    <w:p w14:paraId="58AB5575" w14:textId="77777777" w:rsidR="00655E21" w:rsidRDefault="00655E21" w:rsidP="00655E21">
      <w:pPr>
        <w:tabs>
          <w:tab w:val="left" w:pos="567"/>
        </w:tabs>
      </w:pPr>
    </w:p>
    <w:p w14:paraId="3FFA3F4C" w14:textId="77777777" w:rsidR="00655E21" w:rsidRDefault="00655E21" w:rsidP="00655E21">
      <w:pPr>
        <w:tabs>
          <w:tab w:val="left" w:pos="567"/>
        </w:tabs>
      </w:pPr>
      <w:r>
        <w:t>Across all our capital programmes, our average draw-down profile is 10% in Year 1, 30% in Year 2, and 25% in Year 3.  We have factored this into our estimated impacts below.</w:t>
      </w:r>
    </w:p>
    <w:p w14:paraId="7E5B1F9F" w14:textId="77777777" w:rsidR="00655E21" w:rsidRDefault="00655E21" w:rsidP="00655E21">
      <w:pPr>
        <w:tabs>
          <w:tab w:val="left" w:pos="567"/>
        </w:tabs>
      </w:pPr>
    </w:p>
    <w:p w14:paraId="77ED927B" w14:textId="77777777" w:rsidR="00655E21" w:rsidRPr="008851EA" w:rsidRDefault="00655E21" w:rsidP="00655E21">
      <w:pPr>
        <w:tabs>
          <w:tab w:val="left" w:pos="567"/>
        </w:tabs>
        <w:rPr>
          <w:b/>
          <w:bCs/>
        </w:rPr>
      </w:pPr>
      <w:r w:rsidRPr="006E1C78">
        <w:rPr>
          <w:b/>
          <w:bCs/>
        </w:rPr>
        <w:t xml:space="preserve">What is </w:t>
      </w:r>
      <w:r>
        <w:rPr>
          <w:b/>
          <w:bCs/>
        </w:rPr>
        <w:t>the</w:t>
      </w:r>
      <w:r w:rsidRPr="006E1C78">
        <w:rPr>
          <w:b/>
          <w:bCs/>
        </w:rPr>
        <w:t xml:space="preserve"> true Capital </w:t>
      </w:r>
      <w:r>
        <w:rPr>
          <w:b/>
          <w:bCs/>
        </w:rPr>
        <w:t xml:space="preserve">and Resource </w:t>
      </w:r>
      <w:r w:rsidRPr="006E1C78">
        <w:rPr>
          <w:b/>
          <w:bCs/>
        </w:rPr>
        <w:t>Budget Shortfall in 2025/26</w:t>
      </w:r>
      <w:r>
        <w:rPr>
          <w:b/>
          <w:bCs/>
        </w:rPr>
        <w:t xml:space="preserve"> and what is the estimated impact</w:t>
      </w:r>
      <w:r w:rsidRPr="006E1C78">
        <w:rPr>
          <w:b/>
          <w:bCs/>
        </w:rPr>
        <w:t>?</w:t>
      </w:r>
    </w:p>
    <w:p w14:paraId="70196554" w14:textId="77777777" w:rsidR="00655E21" w:rsidRDefault="00655E21" w:rsidP="00655E21">
      <w:pPr>
        <w:tabs>
          <w:tab w:val="left" w:pos="567"/>
        </w:tabs>
      </w:pPr>
    </w:p>
    <w:p w14:paraId="1951300B" w14:textId="77777777" w:rsidR="00655E21" w:rsidRPr="00A33A21" w:rsidRDefault="00655E21" w:rsidP="00655E21">
      <w:pPr>
        <w:tabs>
          <w:tab w:val="left" w:pos="567"/>
        </w:tabs>
        <w:rPr>
          <w:b/>
          <w:bCs/>
        </w:rPr>
      </w:pPr>
      <w:r w:rsidRPr="00A33A21">
        <w:rPr>
          <w:b/>
          <w:bCs/>
        </w:rPr>
        <w:t>Resource Budget</w:t>
      </w:r>
    </w:p>
    <w:p w14:paraId="5AACD875" w14:textId="77777777" w:rsidR="00655E21" w:rsidRDefault="00655E21" w:rsidP="00655E21">
      <w:pPr>
        <w:tabs>
          <w:tab w:val="left" w:pos="567"/>
        </w:tabs>
      </w:pPr>
    </w:p>
    <w:p w14:paraId="33F8DEC4" w14:textId="77777777" w:rsidR="00655E21" w:rsidRDefault="00655E21" w:rsidP="00655E21">
      <w:pPr>
        <w:tabs>
          <w:tab w:val="left" w:pos="567"/>
        </w:tabs>
      </w:pPr>
      <w:r>
        <w:t xml:space="preserve">As noted above, our resource budget control total is £37.1m.  Working with our delivery teams, we estimate that to deliver our 2025/26 Business Plan targets, we will require </w:t>
      </w:r>
      <w:r w:rsidRPr="00372D52">
        <w:rPr>
          <w:b/>
          <w:bCs/>
        </w:rPr>
        <w:t>c£10.5m</w:t>
      </w:r>
      <w:r>
        <w:t xml:space="preserve"> resource for New Business.  Starting with our control total and factoring in our legally-binding brought forward commitments, we estimate that the current allocation creates a prudent shortfall of </w:t>
      </w:r>
      <w:r w:rsidRPr="00372D52">
        <w:rPr>
          <w:b/>
          <w:bCs/>
        </w:rPr>
        <w:t>c£6.5m</w:t>
      </w:r>
      <w:r>
        <w:t xml:space="preserve">, or a 62% reduction on our new business demand position.  It is </w:t>
      </w:r>
      <w:r>
        <w:lastRenderedPageBreak/>
        <w:t>the absence of this £6.5m that is used to calculate the wider economic impact of not receiving our budget bid. It is important to note that the rebuild that Invest NI has been charged with could drive this shortfall higher as we are already seeing signs of improving WIP.</w:t>
      </w:r>
    </w:p>
    <w:p w14:paraId="6D86CC02" w14:textId="77777777" w:rsidR="00655E21" w:rsidRDefault="00655E21" w:rsidP="00655E21">
      <w:pPr>
        <w:tabs>
          <w:tab w:val="left" w:pos="567"/>
        </w:tabs>
        <w:rPr>
          <w:b/>
          <w:bCs/>
        </w:rPr>
      </w:pPr>
    </w:p>
    <w:p w14:paraId="674D5B84" w14:textId="77777777" w:rsidR="00655E21" w:rsidRPr="00A33A21" w:rsidRDefault="00655E21" w:rsidP="00655E21">
      <w:pPr>
        <w:tabs>
          <w:tab w:val="left" w:pos="567"/>
        </w:tabs>
        <w:rPr>
          <w:b/>
          <w:bCs/>
        </w:rPr>
      </w:pPr>
      <w:r w:rsidRPr="00A33A21">
        <w:rPr>
          <w:b/>
          <w:bCs/>
        </w:rPr>
        <w:t>Capital</w:t>
      </w:r>
      <w:r>
        <w:rPr>
          <w:b/>
          <w:bCs/>
        </w:rPr>
        <w:t xml:space="preserve"> Budget</w:t>
      </w:r>
    </w:p>
    <w:p w14:paraId="1DBCBB49" w14:textId="77777777" w:rsidR="00655E21" w:rsidRDefault="00655E21" w:rsidP="00655E21">
      <w:pPr>
        <w:tabs>
          <w:tab w:val="left" w:pos="567"/>
        </w:tabs>
      </w:pPr>
    </w:p>
    <w:p w14:paraId="6C699B4F" w14:textId="77777777" w:rsidR="00655E21" w:rsidRDefault="00655E21" w:rsidP="00655E21">
      <w:pPr>
        <w:tabs>
          <w:tab w:val="left" w:pos="567"/>
        </w:tabs>
      </w:pPr>
      <w:r>
        <w:t xml:space="preserve">As noted above, our capital budget control total is £41.8m net.  Working with our delivery teams, we estimate that to deliver our 2025/26 Business Plan targets, we will require in the region of </w:t>
      </w:r>
      <w:r w:rsidRPr="00372D52">
        <w:rPr>
          <w:b/>
          <w:bCs/>
        </w:rPr>
        <w:t>c£30.8m</w:t>
      </w:r>
      <w:r>
        <w:t xml:space="preserve"> for New Business.  Starting with our net control total and factoring in our legally-binding brought forward commitments and retaining an internal pressure to account for slippage, we estimate that the current allocation creates a capital shortfall </w:t>
      </w:r>
      <w:r w:rsidRPr="00372D52">
        <w:rPr>
          <w:b/>
          <w:bCs/>
        </w:rPr>
        <w:t>of c£19.4m</w:t>
      </w:r>
      <w:r>
        <w:t xml:space="preserve">. </w:t>
      </w:r>
      <w:r w:rsidRPr="003A5C1E">
        <w:rPr>
          <w:b/>
          <w:bCs/>
        </w:rPr>
        <w:t>It should be noted that this ignores any potential increase in the utilisation of FTC and the success of current bids with the Shared Prosperity Fund.</w:t>
      </w:r>
      <w:r>
        <w:rPr>
          <w:b/>
          <w:bCs/>
        </w:rPr>
        <w:t xml:space="preserve">  Success across both of these, would effectively eliminate the majority of the shortfall.</w:t>
      </w:r>
    </w:p>
    <w:p w14:paraId="2A7823F4" w14:textId="77777777" w:rsidR="00655E21" w:rsidRDefault="00655E21" w:rsidP="00655E21">
      <w:pPr>
        <w:tabs>
          <w:tab w:val="left" w:pos="567"/>
        </w:tabs>
      </w:pPr>
    </w:p>
    <w:p w14:paraId="5E082407" w14:textId="77777777" w:rsidR="00655E21" w:rsidRPr="00C26CE2" w:rsidRDefault="00655E21" w:rsidP="00655E21">
      <w:pPr>
        <w:tabs>
          <w:tab w:val="left" w:pos="567"/>
        </w:tabs>
        <w:rPr>
          <w:b/>
          <w:bCs/>
        </w:rPr>
      </w:pPr>
      <w:r w:rsidRPr="00C26CE2">
        <w:rPr>
          <w:b/>
          <w:bCs/>
        </w:rPr>
        <w:t>Estimated Impact</w:t>
      </w:r>
    </w:p>
    <w:p w14:paraId="795AF8F5" w14:textId="77777777" w:rsidR="00655E21" w:rsidRDefault="00655E21" w:rsidP="00655E21">
      <w:pPr>
        <w:tabs>
          <w:tab w:val="left" w:pos="567"/>
        </w:tabs>
      </w:pPr>
    </w:p>
    <w:p w14:paraId="320DB5BB" w14:textId="77777777" w:rsidR="00655E21" w:rsidRDefault="00655E21" w:rsidP="00655E21">
      <w:pPr>
        <w:tabs>
          <w:tab w:val="left" w:pos="567"/>
        </w:tabs>
      </w:pPr>
      <w:r>
        <w:t xml:space="preserve">As noted above the additional funding will directly impact the new business that Invest NI can deliver in 2025/26 and therefore the derived investment to deliver our Year 2 Investment target of </w:t>
      </w:r>
      <w:r w:rsidRPr="00372D52">
        <w:rPr>
          <w:b/>
          <w:bCs/>
        </w:rPr>
        <w:t>£575m</w:t>
      </w:r>
      <w:r w:rsidRPr="00372D52">
        <w:t>.</w:t>
      </w:r>
      <w:r>
        <w:t xml:space="preserve">  </w:t>
      </w:r>
    </w:p>
    <w:p w14:paraId="5301A1F8" w14:textId="77777777" w:rsidR="00655E21" w:rsidRDefault="00655E21" w:rsidP="00655E21">
      <w:pPr>
        <w:tabs>
          <w:tab w:val="left" w:pos="567"/>
        </w:tabs>
      </w:pPr>
    </w:p>
    <w:p w14:paraId="00AF9B89" w14:textId="77777777" w:rsidR="00655E21" w:rsidRDefault="00655E21" w:rsidP="00655E21">
      <w:pPr>
        <w:tabs>
          <w:tab w:val="left" w:pos="567"/>
        </w:tabs>
      </w:pPr>
      <w:r>
        <w:t xml:space="preserve">As we still work to calculate individual budget line allocations and associated impacts, as noted above, at this point we can only apply a flat reduction across investment in line with the assistance reduction.  Based on a £6.5m shortfall to bid, this estimates that the reduced budget would deliver a total investment outturn of </w:t>
      </w:r>
      <w:r w:rsidRPr="002F3BFC">
        <w:rPr>
          <w:b/>
          <w:bCs/>
        </w:rPr>
        <w:t>c£218.5m</w:t>
      </w:r>
      <w:r>
        <w:t xml:space="preserve">, an impact or loss of investment of </w:t>
      </w:r>
      <w:r w:rsidRPr="002F3BFC">
        <w:rPr>
          <w:b/>
          <w:bCs/>
        </w:rPr>
        <w:t>c£356.5m</w:t>
      </w:r>
      <w:r>
        <w:rPr>
          <w:b/>
          <w:bCs/>
        </w:rPr>
        <w:t xml:space="preserve"> </w:t>
      </w:r>
      <w:r w:rsidRPr="002F3BFC">
        <w:t>for the NI economy</w:t>
      </w:r>
      <w:r>
        <w:t>.</w:t>
      </w:r>
    </w:p>
    <w:p w14:paraId="6BEE9495" w14:textId="77777777" w:rsidR="00655E21" w:rsidRDefault="00655E21" w:rsidP="00655E21">
      <w:pPr>
        <w:tabs>
          <w:tab w:val="left" w:pos="567"/>
        </w:tabs>
      </w:pPr>
    </w:p>
    <w:p w14:paraId="3AC712B7" w14:textId="77777777" w:rsidR="00655E21" w:rsidRDefault="00655E21" w:rsidP="00655E21">
      <w:pPr>
        <w:tabs>
          <w:tab w:val="left" w:pos="567"/>
        </w:tabs>
      </w:pPr>
      <w:r>
        <w:t xml:space="preserve">To estimate the individual impact at the Resource and Capital level, it is appropriate to apply the ratio of budget shortfall (£6.5m Resource / £19.4m Capital) and also the investment ratio for each budget category (£6.4 : 1 Resource and £5.2 : 1 Capital).  Applying these rates, suggests that 71% of the reduction will be a result of the capital reduction (or </w:t>
      </w:r>
      <w:r w:rsidRPr="00B83827">
        <w:rPr>
          <w:b/>
          <w:bCs/>
        </w:rPr>
        <w:t>£253.1m</w:t>
      </w:r>
      <w:r>
        <w:t xml:space="preserve"> of investment) with 29% from the resource reduction (or </w:t>
      </w:r>
      <w:r w:rsidRPr="00B83827">
        <w:rPr>
          <w:b/>
          <w:bCs/>
        </w:rPr>
        <w:t>£103.4m</w:t>
      </w:r>
      <w:r>
        <w:t xml:space="preserve"> of investment).</w:t>
      </w:r>
    </w:p>
    <w:p w14:paraId="0225BBCB" w14:textId="77777777" w:rsidR="00655E21" w:rsidRDefault="00655E21" w:rsidP="00655E21">
      <w:pPr>
        <w:tabs>
          <w:tab w:val="left" w:pos="567"/>
        </w:tabs>
      </w:pPr>
    </w:p>
    <w:p w14:paraId="7CA20EE5" w14:textId="77777777" w:rsidR="00655E21" w:rsidRDefault="00655E21" w:rsidP="00655E21">
      <w:pPr>
        <w:tabs>
          <w:tab w:val="left" w:pos="567"/>
        </w:tabs>
      </w:pPr>
      <w:r>
        <w:t xml:space="preserve">Finally, as noted above, we are assuming a flat reduction across activity in line with the 63% reduction in budget the shortfall represents.  Our Total jobs target for 2025/26 is set at 3,300.  Applying a flat 63% reduction, reduces this to 1,221 jobs, representing a loss of </w:t>
      </w:r>
      <w:r w:rsidRPr="00B83827">
        <w:rPr>
          <w:b/>
          <w:bCs/>
        </w:rPr>
        <w:t>2,079</w:t>
      </w:r>
      <w:r>
        <w:t xml:space="preserve"> jobs to the NI economy.  Investment and jobs that will be lost for ever to our economy, significantly impacting life opportunities for our citizens across NI.</w:t>
      </w:r>
    </w:p>
    <w:p w14:paraId="70225137" w14:textId="77777777" w:rsidR="00655E21" w:rsidRDefault="00655E21" w:rsidP="00655E21">
      <w:pPr>
        <w:tabs>
          <w:tab w:val="left" w:pos="567"/>
        </w:tabs>
      </w:pPr>
    </w:p>
    <w:p w14:paraId="6F929CA5" w14:textId="678E7D1D" w:rsidR="00655E21" w:rsidRPr="00D66883" w:rsidRDefault="00655E21" w:rsidP="00655E21">
      <w:pPr>
        <w:tabs>
          <w:tab w:val="left" w:pos="567"/>
        </w:tabs>
        <w:rPr>
          <w:b/>
          <w:bCs/>
        </w:rPr>
      </w:pPr>
      <w:r w:rsidRPr="00D66883">
        <w:rPr>
          <w:b/>
          <w:bCs/>
        </w:rPr>
        <w:t xml:space="preserve">In summary, our £6.5m </w:t>
      </w:r>
      <w:r>
        <w:rPr>
          <w:b/>
          <w:bCs/>
        </w:rPr>
        <w:t xml:space="preserve">resource </w:t>
      </w:r>
      <w:r w:rsidRPr="00D66883">
        <w:rPr>
          <w:b/>
          <w:bCs/>
        </w:rPr>
        <w:t xml:space="preserve">budget shortfall will result in a loss to the NI economy of </w:t>
      </w:r>
      <w:r>
        <w:rPr>
          <w:b/>
          <w:bCs/>
        </w:rPr>
        <w:t>a minimum of c£103.4m</w:t>
      </w:r>
      <w:r w:rsidRPr="00D66883">
        <w:rPr>
          <w:b/>
          <w:bCs/>
        </w:rPr>
        <w:t xml:space="preserve"> </w:t>
      </w:r>
      <w:r>
        <w:rPr>
          <w:b/>
          <w:bCs/>
        </w:rPr>
        <w:t xml:space="preserve">of total investment immediately in the Northern Ireland economy </w:t>
      </w:r>
      <w:r w:rsidRPr="00D66883">
        <w:rPr>
          <w:b/>
          <w:bCs/>
        </w:rPr>
        <w:t xml:space="preserve">and </w:t>
      </w:r>
      <w:r>
        <w:rPr>
          <w:b/>
          <w:bCs/>
        </w:rPr>
        <w:t xml:space="preserve">a minimum of </w:t>
      </w:r>
      <w:r w:rsidRPr="00D66883">
        <w:rPr>
          <w:b/>
          <w:bCs/>
        </w:rPr>
        <w:t>c</w:t>
      </w:r>
      <w:r>
        <w:rPr>
          <w:b/>
          <w:bCs/>
        </w:rPr>
        <w:t>2,0</w:t>
      </w:r>
      <w:r w:rsidR="00BA002C">
        <w:rPr>
          <w:b/>
          <w:bCs/>
        </w:rPr>
        <w:t>79</w:t>
      </w:r>
      <w:r w:rsidRPr="00D66883">
        <w:rPr>
          <w:b/>
          <w:bCs/>
        </w:rPr>
        <w:t xml:space="preserve"> new jobs.</w:t>
      </w:r>
    </w:p>
    <w:p w14:paraId="669054E8" w14:textId="77777777" w:rsidR="00655E21" w:rsidRDefault="00655E21" w:rsidP="00655E21">
      <w:pPr>
        <w:tabs>
          <w:tab w:val="left" w:pos="567"/>
        </w:tabs>
      </w:pPr>
    </w:p>
    <w:p w14:paraId="4A1648EF" w14:textId="6062B60C" w:rsidR="00655E21" w:rsidRPr="00D66883" w:rsidRDefault="00655E21" w:rsidP="00655E21">
      <w:pPr>
        <w:tabs>
          <w:tab w:val="left" w:pos="567"/>
        </w:tabs>
        <w:rPr>
          <w:b/>
          <w:bCs/>
        </w:rPr>
      </w:pPr>
      <w:r>
        <w:rPr>
          <w:b/>
          <w:bCs/>
        </w:rPr>
        <w:t>With regards to Capital</w:t>
      </w:r>
      <w:r w:rsidRPr="00D66883">
        <w:rPr>
          <w:b/>
          <w:bCs/>
        </w:rPr>
        <w:t>, our £</w:t>
      </w:r>
      <w:r>
        <w:rPr>
          <w:b/>
          <w:bCs/>
        </w:rPr>
        <w:t>19.4</w:t>
      </w:r>
      <w:r w:rsidRPr="00D66883">
        <w:rPr>
          <w:b/>
          <w:bCs/>
        </w:rPr>
        <w:t xml:space="preserve">m </w:t>
      </w:r>
      <w:r>
        <w:rPr>
          <w:b/>
          <w:bCs/>
        </w:rPr>
        <w:t xml:space="preserve">capital </w:t>
      </w:r>
      <w:r w:rsidRPr="00D66883">
        <w:rPr>
          <w:b/>
          <w:bCs/>
        </w:rPr>
        <w:t>budget shortfall will result in a</w:t>
      </w:r>
      <w:r>
        <w:rPr>
          <w:b/>
          <w:bCs/>
        </w:rPr>
        <w:t>n immediate</w:t>
      </w:r>
      <w:r w:rsidRPr="00D66883">
        <w:rPr>
          <w:b/>
          <w:bCs/>
        </w:rPr>
        <w:t xml:space="preserve"> loss to the NI economy of </w:t>
      </w:r>
      <w:r w:rsidRPr="00254946">
        <w:rPr>
          <w:b/>
          <w:bCs/>
        </w:rPr>
        <w:t>c£</w:t>
      </w:r>
      <w:r>
        <w:rPr>
          <w:b/>
          <w:bCs/>
        </w:rPr>
        <w:t>25</w:t>
      </w:r>
      <w:r w:rsidR="00BA002C">
        <w:rPr>
          <w:b/>
          <w:bCs/>
        </w:rPr>
        <w:t>3</w:t>
      </w:r>
      <w:r>
        <w:rPr>
          <w:b/>
          <w:bCs/>
        </w:rPr>
        <w:t>m</w:t>
      </w:r>
      <w:r w:rsidRPr="00D66883">
        <w:rPr>
          <w:b/>
          <w:bCs/>
        </w:rPr>
        <w:t xml:space="preserve"> </w:t>
      </w:r>
      <w:r>
        <w:rPr>
          <w:b/>
          <w:bCs/>
        </w:rPr>
        <w:t>in terms of total investment</w:t>
      </w:r>
      <w:r w:rsidRPr="00D66883">
        <w:rPr>
          <w:b/>
          <w:bCs/>
        </w:rPr>
        <w:t>.</w:t>
      </w:r>
      <w:r>
        <w:rPr>
          <w:b/>
          <w:bCs/>
        </w:rPr>
        <w:t xml:space="preserve"> </w:t>
      </w:r>
      <w:r w:rsidRPr="00254946">
        <w:t xml:space="preserve"> (</w:t>
      </w:r>
      <w:r w:rsidRPr="009856AD">
        <w:t>As already noted, a successful SPF bid and utilisation of further FTC would eliminate the majority of this shortfall</w:t>
      </w:r>
      <w:r>
        <w:t>)</w:t>
      </w:r>
      <w:r w:rsidRPr="009856AD">
        <w:t>.</w:t>
      </w:r>
    </w:p>
    <w:p w14:paraId="53F8CDF1" w14:textId="77777777" w:rsidR="00655E21" w:rsidRDefault="00655E21" w:rsidP="00655E21">
      <w:pPr>
        <w:tabs>
          <w:tab w:val="left" w:pos="567"/>
        </w:tabs>
        <w:ind w:left="567" w:hanging="567"/>
      </w:pPr>
    </w:p>
    <w:p w14:paraId="0B017D95" w14:textId="77777777" w:rsidR="00655E21" w:rsidRDefault="00655E21" w:rsidP="00655E21">
      <w:pPr>
        <w:tabs>
          <w:tab w:val="left" w:pos="0"/>
        </w:tabs>
      </w:pPr>
      <w:r>
        <w:lastRenderedPageBreak/>
        <w:t>Finally, it is important to note that, as well as this immediate impact, history tells us that any reduction in activity or pause in activity creates a lagged impact on performance in future years.  As such, the immediate impacts noted above will be an understatement of the total impact on the NI economy over the longer-term.  We will be able to estimate better the total impact, when we finalise allocations against individual budget lines.</w:t>
      </w:r>
    </w:p>
    <w:p w14:paraId="533B673D" w14:textId="77777777" w:rsidR="00655E21" w:rsidRDefault="00655E21" w:rsidP="00655E21">
      <w:pPr>
        <w:tabs>
          <w:tab w:val="left" w:pos="567"/>
        </w:tabs>
        <w:ind w:left="567" w:hanging="567"/>
      </w:pPr>
    </w:p>
    <w:p w14:paraId="28F46C26" w14:textId="77777777" w:rsidR="00655E21" w:rsidRDefault="00655E21" w:rsidP="00655E21">
      <w:pPr>
        <w:tabs>
          <w:tab w:val="left" w:pos="567"/>
        </w:tabs>
        <w:ind w:left="567" w:hanging="567"/>
      </w:pPr>
    </w:p>
    <w:p w14:paraId="43E5B13E" w14:textId="77777777" w:rsidR="00655E21" w:rsidRDefault="00655E21" w:rsidP="00655E21"/>
    <w:p w14:paraId="154DF681" w14:textId="6B3C9AA4" w:rsidR="006C4E50" w:rsidRDefault="006C4E50" w:rsidP="006C4E50">
      <w:pPr>
        <w:rPr>
          <w:rFonts w:cs="Arial"/>
          <w:b/>
          <w:sz w:val="28"/>
          <w:szCs w:val="28"/>
        </w:rPr>
      </w:pPr>
      <w:r>
        <w:rPr>
          <w:rFonts w:cs="Arial"/>
          <w:b/>
          <w:sz w:val="28"/>
          <w:szCs w:val="28"/>
        </w:rPr>
        <w:t>Implementation f</w:t>
      </w:r>
      <w:r w:rsidRPr="00CC0740">
        <w:rPr>
          <w:rFonts w:cs="Arial"/>
          <w:b/>
          <w:sz w:val="28"/>
          <w:szCs w:val="28"/>
        </w:rPr>
        <w:t>actors</w:t>
      </w:r>
    </w:p>
    <w:p w14:paraId="6AF66D15" w14:textId="77777777" w:rsidR="006C4E50" w:rsidRDefault="006C4E50" w:rsidP="006C4E50">
      <w:pPr>
        <w:rPr>
          <w:rFonts w:cs="Arial"/>
          <w:sz w:val="28"/>
          <w:szCs w:val="28"/>
        </w:rPr>
      </w:pPr>
    </w:p>
    <w:p w14:paraId="0AC39DA4" w14:textId="77777777" w:rsidR="006C4E50" w:rsidRDefault="006C4E50" w:rsidP="006C4E50">
      <w:pPr>
        <w:rPr>
          <w:rFonts w:cs="Arial"/>
          <w:sz w:val="28"/>
          <w:szCs w:val="28"/>
        </w:rPr>
      </w:pPr>
      <w:r w:rsidRPr="00CC0740">
        <w:rPr>
          <w:rFonts w:cs="Arial"/>
          <w:sz w:val="28"/>
          <w:szCs w:val="28"/>
        </w:rPr>
        <w:t xml:space="preserve">Are there any factors which </w:t>
      </w:r>
      <w:r>
        <w:rPr>
          <w:rFonts w:cs="Arial"/>
          <w:sz w:val="28"/>
          <w:szCs w:val="28"/>
        </w:rPr>
        <w:t>could contribute to/</w:t>
      </w:r>
      <w:r w:rsidRPr="00CC0740">
        <w:rPr>
          <w:rFonts w:cs="Arial"/>
          <w:sz w:val="28"/>
          <w:szCs w:val="28"/>
        </w:rPr>
        <w:t xml:space="preserve">detract from </w:t>
      </w:r>
      <w:r>
        <w:rPr>
          <w:rFonts w:cs="Arial"/>
          <w:sz w:val="28"/>
          <w:szCs w:val="28"/>
        </w:rPr>
        <w:t xml:space="preserve">the </w:t>
      </w:r>
      <w:r w:rsidRPr="00CC0740">
        <w:rPr>
          <w:rFonts w:cs="Arial"/>
          <w:sz w:val="28"/>
          <w:szCs w:val="28"/>
        </w:rPr>
        <w:t>intended aim/outcome of the policy/decision?</w:t>
      </w:r>
    </w:p>
    <w:p w14:paraId="0D835C58" w14:textId="77777777" w:rsidR="006C4E50" w:rsidRPr="00881B74" w:rsidRDefault="006C4E50" w:rsidP="006C4E50">
      <w:pPr>
        <w:rPr>
          <w:rFonts w:cs="Arial"/>
          <w:b/>
          <w:sz w:val="28"/>
          <w:szCs w:val="28"/>
        </w:rPr>
      </w:pPr>
    </w:p>
    <w:p w14:paraId="037A658D" w14:textId="77777777" w:rsidR="006C4E50" w:rsidRPr="00CC0740" w:rsidRDefault="006C4E50" w:rsidP="006B58D8">
      <w:pPr>
        <w:spacing w:after="120"/>
        <w:rPr>
          <w:rFonts w:cs="Arial"/>
          <w:sz w:val="28"/>
          <w:szCs w:val="28"/>
        </w:rPr>
      </w:pPr>
      <w:r w:rsidRPr="00CC0740">
        <w:rPr>
          <w:rFonts w:cs="Arial"/>
          <w:sz w:val="28"/>
          <w:szCs w:val="28"/>
        </w:rPr>
        <w:t>If yes, are they</w:t>
      </w:r>
      <w:r w:rsidR="006B58D8">
        <w:rPr>
          <w:rFonts w:cs="Arial"/>
          <w:sz w:val="28"/>
          <w:szCs w:val="28"/>
        </w:rPr>
        <w:t>:</w:t>
      </w:r>
      <w:r w:rsidR="00741BB1">
        <w:rPr>
          <w:rFonts w:cs="Arial"/>
          <w:sz w:val="28"/>
          <w:szCs w:val="28"/>
        </w:rPr>
        <w:tab/>
      </w:r>
    </w:p>
    <w:p w14:paraId="099693F0" w14:textId="77777777" w:rsidR="00AD6BE5" w:rsidRDefault="00AF47A3" w:rsidP="006B58D8">
      <w:pPr>
        <w:ind w:left="360"/>
        <w:rPr>
          <w:rFonts w:cs="Arial"/>
          <w:sz w:val="28"/>
          <w:szCs w:val="28"/>
        </w:rPr>
      </w:pPr>
      <w:r>
        <w:rPr>
          <w:rFonts w:cs="Arial"/>
          <w:noProof/>
          <w:sz w:val="28"/>
          <w:szCs w:val="28"/>
          <w:lang w:eastAsia="en-GB"/>
        </w:rPr>
        <w:drawing>
          <wp:inline distT="0" distB="0" distL="0" distR="0" wp14:anchorId="7C5BA053" wp14:editId="62227B5F">
            <wp:extent cx="1371600" cy="304800"/>
            <wp:effectExtent l="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r w:rsidR="00AD6BE5">
        <w:rPr>
          <w:rFonts w:cs="Arial"/>
          <w:sz w:val="28"/>
          <w:szCs w:val="28"/>
        </w:rPr>
        <w:tab/>
      </w:r>
    </w:p>
    <w:p w14:paraId="70B61D20" w14:textId="77777777" w:rsidR="006C4E50" w:rsidRPr="00CC0740" w:rsidRDefault="00AF47A3" w:rsidP="006B58D8">
      <w:pPr>
        <w:ind w:left="360"/>
        <w:rPr>
          <w:rFonts w:cs="Arial"/>
          <w:sz w:val="28"/>
          <w:szCs w:val="28"/>
        </w:rPr>
      </w:pPr>
      <w:r>
        <w:rPr>
          <w:rFonts w:cs="Arial"/>
          <w:noProof/>
          <w:sz w:val="28"/>
          <w:szCs w:val="28"/>
          <w:lang w:eastAsia="en-GB"/>
        </w:rPr>
        <w:drawing>
          <wp:inline distT="0" distB="0" distL="0" distR="0" wp14:anchorId="5FE3E904" wp14:editId="456F21CF">
            <wp:extent cx="1371600" cy="304800"/>
            <wp:effectExtent l="0" t="0" r="0" b="0"/>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r w:rsidR="00AD6BE5">
        <w:rPr>
          <w:rFonts w:cs="Arial"/>
          <w:sz w:val="28"/>
          <w:szCs w:val="28"/>
        </w:rPr>
        <w:tab/>
      </w:r>
    </w:p>
    <w:p w14:paraId="158844A5" w14:textId="77777777" w:rsidR="006C4E50" w:rsidRPr="00CC0740" w:rsidRDefault="00AF47A3" w:rsidP="006B58D8">
      <w:pPr>
        <w:ind w:left="360"/>
        <w:rPr>
          <w:rFonts w:cs="Arial"/>
          <w:sz w:val="28"/>
          <w:szCs w:val="28"/>
        </w:rPr>
      </w:pPr>
      <w:r>
        <w:rPr>
          <w:rFonts w:cs="Arial"/>
          <w:noProof/>
          <w:sz w:val="28"/>
          <w:szCs w:val="28"/>
          <w:lang w:eastAsia="en-GB"/>
        </w:rPr>
        <w:drawing>
          <wp:inline distT="0" distB="0" distL="0" distR="0" wp14:anchorId="5370D67E" wp14:editId="2AE186E0">
            <wp:extent cx="2209800" cy="304800"/>
            <wp:effectExtent l="0" t="0" r="0" b="0"/>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9800" cy="304800"/>
                    </a:xfrm>
                    <a:prstGeom prst="rect">
                      <a:avLst/>
                    </a:prstGeom>
                    <a:noFill/>
                    <a:ln>
                      <a:noFill/>
                    </a:ln>
                  </pic:spPr>
                </pic:pic>
              </a:graphicData>
            </a:graphic>
          </wp:inline>
        </w:drawing>
      </w:r>
    </w:p>
    <w:p w14:paraId="5ED97446" w14:textId="77777777" w:rsidR="006C4E50" w:rsidRDefault="006C4E50" w:rsidP="006C4E50">
      <w:pPr>
        <w:rPr>
          <w:rFonts w:cs="Arial"/>
          <w:b/>
          <w:sz w:val="28"/>
          <w:szCs w:val="28"/>
        </w:rPr>
      </w:pPr>
    </w:p>
    <w:p w14:paraId="574E90D9" w14:textId="77777777" w:rsidR="006C4E50" w:rsidRDefault="006C4E50" w:rsidP="006C4E50">
      <w:pPr>
        <w:rPr>
          <w:rFonts w:cs="Arial"/>
          <w:b/>
          <w:sz w:val="28"/>
          <w:szCs w:val="28"/>
        </w:rPr>
      </w:pPr>
      <w:r w:rsidRPr="00CC0740">
        <w:rPr>
          <w:rFonts w:cs="Arial"/>
          <w:b/>
          <w:sz w:val="28"/>
          <w:szCs w:val="28"/>
        </w:rPr>
        <w:t>Main stakeholders affected</w:t>
      </w:r>
    </w:p>
    <w:p w14:paraId="7C17B27D" w14:textId="77777777" w:rsidR="006C4E50" w:rsidRDefault="006C4E50" w:rsidP="006C4E50">
      <w:pPr>
        <w:rPr>
          <w:rFonts w:cs="Arial"/>
          <w:b/>
          <w:sz w:val="28"/>
          <w:szCs w:val="28"/>
        </w:rPr>
      </w:pPr>
    </w:p>
    <w:p w14:paraId="5A9C8D8B" w14:textId="77777777" w:rsidR="009B30C9" w:rsidRDefault="006C4E50" w:rsidP="006C4E50">
      <w:pPr>
        <w:rPr>
          <w:rFonts w:cs="Arial"/>
          <w:sz w:val="28"/>
          <w:szCs w:val="28"/>
        </w:rPr>
      </w:pPr>
      <w:r>
        <w:rPr>
          <w:rFonts w:cs="Arial"/>
          <w:sz w:val="28"/>
          <w:szCs w:val="28"/>
        </w:rPr>
        <w:t>Who</w:t>
      </w:r>
      <w:r w:rsidRPr="00CC0740">
        <w:rPr>
          <w:rFonts w:cs="Arial"/>
          <w:sz w:val="28"/>
          <w:szCs w:val="28"/>
        </w:rPr>
        <w:t xml:space="preserve"> are the internal and e</w:t>
      </w:r>
      <w:r>
        <w:rPr>
          <w:rFonts w:cs="Arial"/>
          <w:sz w:val="28"/>
          <w:szCs w:val="28"/>
        </w:rPr>
        <w:t xml:space="preserve">xternal stakeholders (actual or </w:t>
      </w:r>
      <w:r w:rsidRPr="00CC0740">
        <w:rPr>
          <w:rFonts w:cs="Arial"/>
          <w:sz w:val="28"/>
          <w:szCs w:val="28"/>
        </w:rPr>
        <w:t>potential) that the policy will impact upon?</w:t>
      </w:r>
    </w:p>
    <w:p w14:paraId="34276790" w14:textId="4D0F2F76" w:rsidR="006C4E50" w:rsidRDefault="00D77E04" w:rsidP="006C4E50">
      <w:pPr>
        <w:rPr>
          <w:rFonts w:cs="Arial"/>
          <w:sz w:val="28"/>
          <w:szCs w:val="28"/>
        </w:rPr>
      </w:pPr>
      <w:r>
        <w:rPr>
          <w:rFonts w:cs="Arial"/>
          <w:sz w:val="28"/>
          <w:szCs w:val="28"/>
        </w:rPr>
        <w:tab/>
      </w:r>
      <w:r>
        <w:rPr>
          <w:rFonts w:cs="Arial"/>
          <w:sz w:val="28"/>
          <w:szCs w:val="28"/>
        </w:rPr>
        <w:tab/>
      </w:r>
      <w:r>
        <w:rPr>
          <w:rFonts w:cs="Arial"/>
          <w:sz w:val="28"/>
          <w:szCs w:val="28"/>
        </w:rPr>
        <w:tab/>
      </w:r>
    </w:p>
    <w:p w14:paraId="1766440E" w14:textId="4D1321BE" w:rsidR="0098000B" w:rsidRDefault="0098000B" w:rsidP="00DF6EFB">
      <w:pPr>
        <w:ind w:left="360"/>
        <w:rPr>
          <w:rFonts w:cs="Arial"/>
          <w:noProof/>
          <w:sz w:val="28"/>
          <w:szCs w:val="28"/>
          <w:lang w:eastAsia="en-GB"/>
        </w:rPr>
      </w:pPr>
      <w:r>
        <w:rPr>
          <w:rFonts w:cs="Arial"/>
          <w:noProof/>
          <w:sz w:val="28"/>
          <w:szCs w:val="28"/>
          <w:lang w:eastAsia="en-GB"/>
        </w:rPr>
        <w:t>Staff – yes</w:t>
      </w:r>
    </w:p>
    <w:p w14:paraId="5FCDAFAA" w14:textId="36C26332" w:rsidR="0098000B" w:rsidRDefault="0098000B" w:rsidP="00DF6EFB">
      <w:pPr>
        <w:ind w:left="360"/>
        <w:rPr>
          <w:rFonts w:cs="Arial"/>
          <w:noProof/>
          <w:sz w:val="28"/>
          <w:szCs w:val="28"/>
          <w:lang w:eastAsia="en-GB"/>
        </w:rPr>
      </w:pPr>
      <w:r>
        <w:rPr>
          <w:rFonts w:cs="Arial"/>
          <w:noProof/>
          <w:sz w:val="28"/>
          <w:szCs w:val="28"/>
          <w:lang w:eastAsia="en-GB"/>
        </w:rPr>
        <w:t>Service users – yes</w:t>
      </w:r>
    </w:p>
    <w:p w14:paraId="72DCB42C" w14:textId="4B46F3DF" w:rsidR="0098000B" w:rsidRDefault="0098000B" w:rsidP="00DF6EFB">
      <w:pPr>
        <w:ind w:left="360"/>
        <w:rPr>
          <w:rFonts w:cs="Arial"/>
          <w:noProof/>
          <w:sz w:val="28"/>
          <w:szCs w:val="28"/>
          <w:lang w:eastAsia="en-GB"/>
        </w:rPr>
      </w:pPr>
      <w:r>
        <w:rPr>
          <w:rFonts w:cs="Arial"/>
          <w:noProof/>
          <w:sz w:val="28"/>
          <w:szCs w:val="28"/>
          <w:lang w:eastAsia="en-GB"/>
        </w:rPr>
        <w:t>Other public sector bodies – yes</w:t>
      </w:r>
    </w:p>
    <w:p w14:paraId="42F95AFB" w14:textId="2B45243E" w:rsidR="0098000B" w:rsidRDefault="0098000B" w:rsidP="00DF6EFB">
      <w:pPr>
        <w:ind w:left="360"/>
        <w:rPr>
          <w:rFonts w:cs="Arial"/>
          <w:noProof/>
          <w:sz w:val="28"/>
          <w:szCs w:val="28"/>
          <w:lang w:eastAsia="en-GB"/>
        </w:rPr>
      </w:pPr>
      <w:r>
        <w:rPr>
          <w:rFonts w:cs="Arial"/>
          <w:noProof/>
          <w:sz w:val="28"/>
          <w:szCs w:val="28"/>
          <w:lang w:eastAsia="en-GB"/>
        </w:rPr>
        <w:t>Voluntary community trade unions – yes</w:t>
      </w:r>
    </w:p>
    <w:p w14:paraId="44A33FC4" w14:textId="39117E47" w:rsidR="0098000B" w:rsidRDefault="0098000B" w:rsidP="00DF6EFB">
      <w:pPr>
        <w:ind w:left="360"/>
        <w:rPr>
          <w:rFonts w:cs="Arial"/>
          <w:noProof/>
          <w:sz w:val="28"/>
          <w:szCs w:val="28"/>
          <w:lang w:eastAsia="en-GB"/>
        </w:rPr>
      </w:pPr>
      <w:r>
        <w:rPr>
          <w:rFonts w:cs="Arial"/>
          <w:noProof/>
          <w:sz w:val="28"/>
          <w:szCs w:val="28"/>
          <w:lang w:eastAsia="en-GB"/>
        </w:rPr>
        <w:t>Business and commerce - yes</w:t>
      </w:r>
    </w:p>
    <w:p w14:paraId="2E31978A" w14:textId="77777777" w:rsidR="0098000B" w:rsidRDefault="0098000B" w:rsidP="006C4E50">
      <w:pPr>
        <w:pStyle w:val="Heading5"/>
      </w:pPr>
    </w:p>
    <w:p w14:paraId="5E74EECF" w14:textId="33C1D5BE" w:rsidR="006C4E50" w:rsidRPr="00E91D60" w:rsidRDefault="006C4E50" w:rsidP="006C4E50">
      <w:pPr>
        <w:pStyle w:val="Heading5"/>
        <w:rPr>
          <w:rFonts w:ascii="Arial Bold" w:hAnsi="Arial Bold" w:cs="Arial"/>
          <w:bCs/>
          <w:sz w:val="28"/>
          <w:szCs w:val="28"/>
        </w:rPr>
      </w:pPr>
      <w:hyperlink w:anchor="Onefour" w:history="1">
        <w:r w:rsidRPr="00E91D60">
          <w:rPr>
            <w:rStyle w:val="Hyperlink"/>
            <w:rFonts w:ascii="Arial Bold" w:hAnsi="Arial Bold" w:cs="Arial"/>
            <w:bCs/>
            <w:color w:val="auto"/>
            <w:sz w:val="28"/>
            <w:szCs w:val="28"/>
            <w:u w:val="none"/>
          </w:rPr>
          <w:t>Other policies with a bearing on this policy</w:t>
        </w:r>
      </w:hyperlink>
    </w:p>
    <w:p w14:paraId="46FA6586" w14:textId="77777777" w:rsidR="006C4E50" w:rsidRPr="00FA0121" w:rsidRDefault="006C4E50" w:rsidP="006C4E50">
      <w:pPr>
        <w:rPr>
          <w:rFonts w:cs="Arial"/>
          <w:sz w:val="28"/>
          <w:szCs w:val="28"/>
          <w:lang w:val="en-US"/>
        </w:rPr>
      </w:pPr>
    </w:p>
    <w:p w14:paraId="4E7D580A" w14:textId="77777777" w:rsidR="009B30C9" w:rsidRDefault="00235C01" w:rsidP="00CE752D">
      <w:pPr>
        <w:numPr>
          <w:ilvl w:val="0"/>
          <w:numId w:val="1"/>
        </w:numPr>
        <w:spacing w:after="120"/>
        <w:ind w:hanging="238"/>
        <w:rPr>
          <w:rFonts w:cs="Arial"/>
          <w:bCs/>
          <w:sz w:val="28"/>
          <w:szCs w:val="28"/>
        </w:rPr>
      </w:pPr>
      <w:r>
        <w:rPr>
          <w:rFonts w:cs="Arial"/>
          <w:bCs/>
          <w:sz w:val="28"/>
          <w:szCs w:val="28"/>
        </w:rPr>
        <w:t>All policies and procedures as enacted by Invest NI</w:t>
      </w:r>
    </w:p>
    <w:p w14:paraId="4A22B3AC" w14:textId="54835C6B" w:rsidR="006C4E50" w:rsidRDefault="00A45752" w:rsidP="00CE752D">
      <w:pPr>
        <w:numPr>
          <w:ilvl w:val="0"/>
          <w:numId w:val="1"/>
        </w:numPr>
        <w:spacing w:after="120"/>
        <w:ind w:hanging="238"/>
        <w:rPr>
          <w:rFonts w:cs="Arial"/>
          <w:bCs/>
          <w:sz w:val="28"/>
          <w:szCs w:val="28"/>
        </w:rPr>
      </w:pPr>
      <w:r w:rsidRPr="009B30C9">
        <w:rPr>
          <w:rFonts w:cs="Arial"/>
          <w:bCs/>
          <w:sz w:val="28"/>
          <w:szCs w:val="28"/>
        </w:rPr>
        <w:t>Any further budgetary decisions made within DfE and Invest Northern Ireland</w:t>
      </w:r>
    </w:p>
    <w:p w14:paraId="625AC739" w14:textId="49F5E9CC" w:rsidR="009B30C9" w:rsidRDefault="009B30C9" w:rsidP="00CE752D">
      <w:pPr>
        <w:numPr>
          <w:ilvl w:val="0"/>
          <w:numId w:val="1"/>
        </w:numPr>
        <w:spacing w:after="120"/>
        <w:ind w:hanging="238"/>
        <w:rPr>
          <w:rFonts w:cs="Arial"/>
          <w:bCs/>
          <w:sz w:val="28"/>
          <w:szCs w:val="28"/>
        </w:rPr>
      </w:pPr>
      <w:r>
        <w:rPr>
          <w:rFonts w:cs="Arial"/>
          <w:bCs/>
          <w:sz w:val="28"/>
          <w:szCs w:val="28"/>
        </w:rPr>
        <w:t>ISNI</w:t>
      </w:r>
    </w:p>
    <w:p w14:paraId="1ABC3132" w14:textId="3D3B0779" w:rsidR="00D10A7B" w:rsidRPr="009B30C9" w:rsidRDefault="00D10A7B" w:rsidP="00CE752D">
      <w:pPr>
        <w:numPr>
          <w:ilvl w:val="0"/>
          <w:numId w:val="1"/>
        </w:numPr>
        <w:spacing w:after="120"/>
        <w:ind w:hanging="238"/>
        <w:rPr>
          <w:rFonts w:cs="Arial"/>
          <w:bCs/>
          <w:sz w:val="28"/>
          <w:szCs w:val="28"/>
        </w:rPr>
      </w:pPr>
      <w:proofErr w:type="spellStart"/>
      <w:r>
        <w:rPr>
          <w:rFonts w:cs="Arial"/>
          <w:bCs/>
          <w:sz w:val="28"/>
          <w:szCs w:val="28"/>
        </w:rPr>
        <w:t>PfG</w:t>
      </w:r>
      <w:proofErr w:type="spellEnd"/>
    </w:p>
    <w:p w14:paraId="3053A168" w14:textId="77777777" w:rsidR="008D0B02" w:rsidRDefault="008D0B02" w:rsidP="006C4E50">
      <w:pPr>
        <w:autoSpaceDE w:val="0"/>
        <w:autoSpaceDN w:val="0"/>
        <w:adjustRightInd w:val="0"/>
        <w:rPr>
          <w:rFonts w:cs="Arial"/>
          <w:b/>
          <w:sz w:val="28"/>
          <w:szCs w:val="28"/>
        </w:rPr>
      </w:pPr>
    </w:p>
    <w:p w14:paraId="1363D70B" w14:textId="77777777" w:rsidR="006C4E50" w:rsidRPr="00FA0121" w:rsidRDefault="006C4E50" w:rsidP="006C4E50">
      <w:pPr>
        <w:autoSpaceDE w:val="0"/>
        <w:autoSpaceDN w:val="0"/>
        <w:adjustRightInd w:val="0"/>
        <w:rPr>
          <w:rFonts w:cs="Arial"/>
          <w:b/>
          <w:sz w:val="28"/>
          <w:szCs w:val="28"/>
        </w:rPr>
      </w:pPr>
      <w:r>
        <w:rPr>
          <w:rFonts w:cs="Arial"/>
          <w:b/>
          <w:sz w:val="28"/>
          <w:szCs w:val="28"/>
        </w:rPr>
        <w:t xml:space="preserve">Available evidence </w:t>
      </w:r>
    </w:p>
    <w:p w14:paraId="783D86AD" w14:textId="77777777" w:rsidR="006C4E50" w:rsidRDefault="006C4E50" w:rsidP="006C4E50">
      <w:pPr>
        <w:autoSpaceDE w:val="0"/>
        <w:autoSpaceDN w:val="0"/>
        <w:adjustRightInd w:val="0"/>
        <w:rPr>
          <w:rFonts w:cs="Arial"/>
          <w:sz w:val="28"/>
          <w:szCs w:val="28"/>
        </w:rPr>
      </w:pPr>
    </w:p>
    <w:p w14:paraId="534F701D" w14:textId="77777777" w:rsidR="0002630E" w:rsidRPr="0002630E" w:rsidRDefault="0002630E" w:rsidP="0002630E">
      <w:pPr>
        <w:autoSpaceDE w:val="0"/>
        <w:autoSpaceDN w:val="0"/>
        <w:adjustRightInd w:val="0"/>
        <w:rPr>
          <w:rFonts w:cs="Arial"/>
          <w:b/>
          <w:sz w:val="28"/>
          <w:szCs w:val="28"/>
        </w:rPr>
      </w:pPr>
      <w:r w:rsidRPr="0002630E">
        <w:rPr>
          <w:rFonts w:cs="Arial"/>
          <w:sz w:val="28"/>
          <w:szCs w:val="28"/>
        </w:rPr>
        <w:lastRenderedPageBreak/>
        <w:t xml:space="preserve">Evidence to help inform the screening process may take many forms.  Public authorities should ensure that their screening decision is informed by relevant data. The Commission has produced this guide to </w:t>
      </w:r>
      <w:hyperlink r:id="rId17" w:tooltip="Link to ECNI publication - S75 Using Evidence in Policy Making - A Signposting Guide" w:history="1">
        <w:r w:rsidRPr="0002630E">
          <w:rPr>
            <w:rFonts w:cs="Arial"/>
            <w:b/>
            <w:bCs/>
            <w:color w:val="0000FF"/>
            <w:sz w:val="28"/>
            <w:szCs w:val="28"/>
            <w:u w:val="single"/>
          </w:rPr>
          <w:t>signpost to S75 data</w:t>
        </w:r>
      </w:hyperlink>
      <w:r w:rsidRPr="0002630E">
        <w:rPr>
          <w:rFonts w:cs="Arial"/>
          <w:sz w:val="28"/>
          <w:szCs w:val="28"/>
        </w:rPr>
        <w:t xml:space="preserve">.  Also refer to the </w:t>
      </w:r>
      <w:hyperlink r:id="rId18" w:history="1">
        <w:r w:rsidRPr="0002630E">
          <w:rPr>
            <w:rFonts w:cs="Arial"/>
            <w:color w:val="0000FF"/>
            <w:sz w:val="28"/>
            <w:szCs w:val="28"/>
            <w:u w:val="single"/>
          </w:rPr>
          <w:t>DfE Guidance for Equality Screening</w:t>
        </w:r>
      </w:hyperlink>
      <w:r w:rsidRPr="0002630E">
        <w:rPr>
          <w:rFonts w:cs="Arial"/>
          <w:sz w:val="28"/>
          <w:szCs w:val="28"/>
        </w:rPr>
        <w:t xml:space="preserve"> for some evidence sources.</w:t>
      </w:r>
    </w:p>
    <w:p w14:paraId="298CECA4" w14:textId="77777777" w:rsidR="0002630E" w:rsidRPr="0002630E" w:rsidRDefault="0002630E" w:rsidP="0002630E">
      <w:pPr>
        <w:autoSpaceDE w:val="0"/>
        <w:autoSpaceDN w:val="0"/>
        <w:adjustRightInd w:val="0"/>
        <w:rPr>
          <w:rFonts w:cs="Arial"/>
          <w:b/>
          <w:sz w:val="28"/>
          <w:szCs w:val="28"/>
        </w:rPr>
      </w:pPr>
    </w:p>
    <w:p w14:paraId="1E5F1CD5" w14:textId="77777777" w:rsidR="0002630E" w:rsidRPr="0002630E" w:rsidRDefault="0002630E" w:rsidP="0002630E">
      <w:pPr>
        <w:autoSpaceDE w:val="0"/>
        <w:autoSpaceDN w:val="0"/>
        <w:adjustRightInd w:val="0"/>
        <w:rPr>
          <w:rFonts w:cs="Arial"/>
          <w:sz w:val="28"/>
          <w:szCs w:val="28"/>
        </w:rPr>
      </w:pPr>
      <w:r w:rsidRPr="0002630E">
        <w:rPr>
          <w:rFonts w:cs="Arial"/>
          <w:sz w:val="28"/>
          <w:szCs w:val="28"/>
        </w:rPr>
        <w:t xml:space="preserve">What </w:t>
      </w:r>
      <w:r w:rsidRPr="0002630E">
        <w:rPr>
          <w:rFonts w:cs="Arial"/>
          <w:sz w:val="28"/>
          <w:szCs w:val="28"/>
          <w:u w:val="single"/>
        </w:rPr>
        <w:t>evidence/information</w:t>
      </w:r>
      <w:r w:rsidRPr="0002630E">
        <w:rPr>
          <w:rFonts w:cs="Arial"/>
          <w:sz w:val="28"/>
          <w:szCs w:val="28"/>
        </w:rPr>
        <w:t xml:space="preserve"> (both qualitative and quantitative) have you gathered to inform this policy?  Specify </w:t>
      </w:r>
      <w:r w:rsidRPr="0002630E">
        <w:rPr>
          <w:rFonts w:cs="Arial"/>
          <w:sz w:val="28"/>
          <w:szCs w:val="28"/>
          <w:u w:val="single"/>
        </w:rPr>
        <w:t>details</w:t>
      </w:r>
      <w:r w:rsidRPr="0002630E">
        <w:rPr>
          <w:rFonts w:cs="Arial"/>
          <w:sz w:val="28"/>
          <w:szCs w:val="28"/>
        </w:rPr>
        <w:t xml:space="preserve"> for each of the Section 75 categories.</w:t>
      </w:r>
    </w:p>
    <w:p w14:paraId="60F2CCE9" w14:textId="77777777" w:rsidR="00D27DFF" w:rsidRDefault="00D27DFF" w:rsidP="006C4E50">
      <w:pPr>
        <w:autoSpaceDE w:val="0"/>
        <w:autoSpaceDN w:val="0"/>
        <w:adjustRightInd w:val="0"/>
        <w:rPr>
          <w:rFonts w:cs="Arial"/>
          <w:sz w:val="28"/>
          <w:szCs w:val="28"/>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37"/>
        <w:gridCol w:w="216"/>
        <w:gridCol w:w="8375"/>
      </w:tblGrid>
      <w:tr w:rsidR="001B07C3" w:rsidRPr="00BE0E96" w14:paraId="5A5450EB" w14:textId="77777777" w:rsidTr="00A64856">
        <w:trPr>
          <w:trHeight w:val="1011"/>
        </w:trPr>
        <w:tc>
          <w:tcPr>
            <w:tcW w:w="1483" w:type="dxa"/>
            <w:shd w:val="clear" w:color="auto" w:fill="C0C0C0"/>
          </w:tcPr>
          <w:p w14:paraId="5DABE162" w14:textId="1F20197F" w:rsidR="004544B3" w:rsidRPr="0098000B" w:rsidRDefault="0025604E" w:rsidP="001B07C3">
            <w:pPr>
              <w:spacing w:before="240" w:after="240"/>
              <w:ind w:right="57"/>
              <w:jc w:val="center"/>
              <w:rPr>
                <w:rFonts w:cs="Arial"/>
                <w:b/>
                <w:sz w:val="20"/>
              </w:rPr>
            </w:pPr>
            <w:r>
              <w:rPr>
                <w:rFonts w:cs="Arial"/>
                <w:b/>
                <w:sz w:val="20"/>
              </w:rPr>
              <w:t>s</w:t>
            </w:r>
            <w:r w:rsidR="004544B3" w:rsidRPr="0098000B">
              <w:rPr>
                <w:rFonts w:cs="Arial"/>
                <w:b/>
                <w:sz w:val="20"/>
              </w:rPr>
              <w:t>75 Category</w:t>
            </w:r>
          </w:p>
        </w:tc>
        <w:tc>
          <w:tcPr>
            <w:tcW w:w="8445" w:type="dxa"/>
            <w:gridSpan w:val="2"/>
            <w:shd w:val="clear" w:color="auto" w:fill="C0C0C0"/>
          </w:tcPr>
          <w:p w14:paraId="25F2452B" w14:textId="77777777" w:rsidR="004544B3" w:rsidRPr="006F4B15" w:rsidRDefault="004544B3" w:rsidP="001B07C3">
            <w:pPr>
              <w:spacing w:before="240" w:after="240"/>
              <w:ind w:right="1414"/>
              <w:jc w:val="center"/>
              <w:rPr>
                <w:rFonts w:cs="Arial"/>
                <w:b/>
                <w:szCs w:val="24"/>
              </w:rPr>
            </w:pPr>
            <w:r w:rsidRPr="006F4B15">
              <w:rPr>
                <w:rFonts w:cs="Arial"/>
                <w:b/>
                <w:szCs w:val="24"/>
              </w:rPr>
              <w:t xml:space="preserve">Details </w:t>
            </w:r>
            <w:r>
              <w:rPr>
                <w:rFonts w:cs="Arial"/>
                <w:b/>
                <w:szCs w:val="24"/>
              </w:rPr>
              <w:t>o</w:t>
            </w:r>
            <w:r w:rsidRPr="006F4B15">
              <w:rPr>
                <w:rFonts w:cs="Arial"/>
                <w:b/>
                <w:szCs w:val="24"/>
              </w:rPr>
              <w:t>f Evidence/Information</w:t>
            </w:r>
          </w:p>
        </w:tc>
      </w:tr>
      <w:tr w:rsidR="004544B3" w:rsidRPr="00BE0E96" w14:paraId="6785723A" w14:textId="77777777" w:rsidTr="00A64856">
        <w:trPr>
          <w:trHeight w:val="698"/>
        </w:trPr>
        <w:tc>
          <w:tcPr>
            <w:tcW w:w="1838" w:type="dxa"/>
            <w:gridSpan w:val="2"/>
            <w:shd w:val="clear" w:color="auto" w:fill="EEECE1"/>
          </w:tcPr>
          <w:p w14:paraId="6FB14074" w14:textId="77777777" w:rsidR="00D27DFF" w:rsidRPr="00A64856" w:rsidRDefault="00D27DFF" w:rsidP="001B07C3">
            <w:pPr>
              <w:autoSpaceDE w:val="0"/>
              <w:autoSpaceDN w:val="0"/>
              <w:adjustRightInd w:val="0"/>
              <w:spacing w:before="240" w:after="240"/>
              <w:ind w:right="-91"/>
              <w:rPr>
                <w:rFonts w:cs="Arial"/>
                <w:b/>
                <w:bCs/>
                <w:szCs w:val="24"/>
              </w:rPr>
            </w:pPr>
            <w:r w:rsidRPr="00A64856">
              <w:rPr>
                <w:rFonts w:cs="Arial"/>
                <w:b/>
                <w:bCs/>
                <w:szCs w:val="24"/>
              </w:rPr>
              <w:t>All</w:t>
            </w:r>
          </w:p>
          <w:p w14:paraId="3AF4B2EA" w14:textId="77777777" w:rsidR="005B12FC" w:rsidRPr="00A64856" w:rsidRDefault="005B12FC" w:rsidP="001B07C3">
            <w:pPr>
              <w:autoSpaceDE w:val="0"/>
              <w:autoSpaceDN w:val="0"/>
              <w:adjustRightInd w:val="0"/>
              <w:spacing w:before="240" w:after="240"/>
              <w:ind w:right="-91"/>
              <w:rPr>
                <w:rFonts w:cs="Arial"/>
                <w:b/>
                <w:bCs/>
                <w:szCs w:val="24"/>
              </w:rPr>
            </w:pPr>
          </w:p>
          <w:p w14:paraId="573FE17D" w14:textId="77777777" w:rsidR="005B12FC" w:rsidRPr="00A64856" w:rsidRDefault="005B12FC" w:rsidP="001B07C3">
            <w:pPr>
              <w:autoSpaceDE w:val="0"/>
              <w:autoSpaceDN w:val="0"/>
              <w:adjustRightInd w:val="0"/>
              <w:spacing w:before="240" w:after="240"/>
              <w:ind w:right="-91"/>
              <w:rPr>
                <w:b/>
                <w:bCs/>
                <w:szCs w:val="24"/>
              </w:rPr>
            </w:pPr>
          </w:p>
          <w:p w14:paraId="2DBBC0E4" w14:textId="77777777" w:rsidR="005B12FC" w:rsidRPr="00A64856" w:rsidRDefault="005B12FC" w:rsidP="001B07C3">
            <w:pPr>
              <w:autoSpaceDE w:val="0"/>
              <w:autoSpaceDN w:val="0"/>
              <w:adjustRightInd w:val="0"/>
              <w:spacing w:before="240" w:after="240"/>
              <w:ind w:right="-91"/>
              <w:rPr>
                <w:b/>
                <w:bCs/>
                <w:szCs w:val="24"/>
              </w:rPr>
            </w:pPr>
          </w:p>
          <w:p w14:paraId="33EA0A86" w14:textId="77777777" w:rsidR="00E635FF" w:rsidRPr="00A64856" w:rsidRDefault="00E635FF" w:rsidP="001B07C3">
            <w:pPr>
              <w:autoSpaceDE w:val="0"/>
              <w:autoSpaceDN w:val="0"/>
              <w:adjustRightInd w:val="0"/>
              <w:spacing w:before="240" w:after="240"/>
              <w:ind w:right="-91"/>
              <w:rPr>
                <w:rFonts w:cs="Arial"/>
                <w:b/>
                <w:bCs/>
                <w:szCs w:val="24"/>
              </w:rPr>
            </w:pPr>
          </w:p>
          <w:p w14:paraId="4CE6EFA6" w14:textId="77777777" w:rsidR="00461E25" w:rsidRPr="00A64856" w:rsidRDefault="00461E25" w:rsidP="001B07C3">
            <w:pPr>
              <w:autoSpaceDE w:val="0"/>
              <w:autoSpaceDN w:val="0"/>
              <w:adjustRightInd w:val="0"/>
              <w:spacing w:before="240" w:after="240"/>
              <w:ind w:right="-91"/>
              <w:rPr>
                <w:rFonts w:cs="Arial"/>
                <w:b/>
                <w:bCs/>
                <w:szCs w:val="24"/>
              </w:rPr>
            </w:pPr>
          </w:p>
          <w:p w14:paraId="7E02905B" w14:textId="38623E45" w:rsidR="004544B3" w:rsidRPr="00A64856" w:rsidRDefault="004544B3" w:rsidP="001B07C3">
            <w:pPr>
              <w:autoSpaceDE w:val="0"/>
              <w:autoSpaceDN w:val="0"/>
              <w:adjustRightInd w:val="0"/>
              <w:spacing w:before="240" w:after="240"/>
              <w:ind w:right="-91"/>
              <w:rPr>
                <w:rFonts w:cs="Arial"/>
                <w:b/>
                <w:bCs/>
                <w:szCs w:val="24"/>
              </w:rPr>
            </w:pPr>
            <w:r w:rsidRPr="00A64856">
              <w:rPr>
                <w:rFonts w:cs="Arial"/>
                <w:b/>
                <w:bCs/>
                <w:szCs w:val="24"/>
              </w:rPr>
              <w:t>Religious belief</w:t>
            </w:r>
            <w:r w:rsidR="00892E47" w:rsidRPr="00A64856">
              <w:rPr>
                <w:rFonts w:cs="Arial"/>
                <w:b/>
                <w:bCs/>
                <w:szCs w:val="24"/>
              </w:rPr>
              <w:t xml:space="preserve"> / Political opinion</w:t>
            </w:r>
          </w:p>
          <w:p w14:paraId="05FDB8F7" w14:textId="77777777" w:rsidR="005B12FC" w:rsidRPr="00A64856" w:rsidRDefault="005B12FC" w:rsidP="001B07C3">
            <w:pPr>
              <w:autoSpaceDE w:val="0"/>
              <w:autoSpaceDN w:val="0"/>
              <w:adjustRightInd w:val="0"/>
              <w:spacing w:before="240" w:after="240"/>
              <w:ind w:right="-91"/>
              <w:rPr>
                <w:rFonts w:cs="Arial"/>
                <w:b/>
                <w:bCs/>
                <w:szCs w:val="24"/>
              </w:rPr>
            </w:pPr>
          </w:p>
          <w:p w14:paraId="29F43A95" w14:textId="77777777" w:rsidR="005B12FC" w:rsidRPr="00A64856" w:rsidRDefault="005B12FC" w:rsidP="001B07C3">
            <w:pPr>
              <w:autoSpaceDE w:val="0"/>
              <w:autoSpaceDN w:val="0"/>
              <w:adjustRightInd w:val="0"/>
              <w:spacing w:before="240" w:after="240"/>
              <w:ind w:right="-91"/>
              <w:rPr>
                <w:rFonts w:cs="Arial"/>
                <w:b/>
                <w:bCs/>
                <w:szCs w:val="24"/>
              </w:rPr>
            </w:pPr>
          </w:p>
          <w:p w14:paraId="2126495E" w14:textId="77777777" w:rsidR="005B12FC" w:rsidRPr="00A64856" w:rsidRDefault="005B12FC" w:rsidP="001B07C3">
            <w:pPr>
              <w:autoSpaceDE w:val="0"/>
              <w:autoSpaceDN w:val="0"/>
              <w:adjustRightInd w:val="0"/>
              <w:spacing w:before="240" w:after="240"/>
              <w:ind w:right="-91"/>
              <w:rPr>
                <w:rFonts w:cs="Arial"/>
                <w:b/>
                <w:bCs/>
                <w:szCs w:val="24"/>
              </w:rPr>
            </w:pPr>
          </w:p>
          <w:p w14:paraId="718820C1" w14:textId="77777777" w:rsidR="00892E47" w:rsidRPr="00A64856" w:rsidRDefault="00892E47" w:rsidP="001B07C3">
            <w:pPr>
              <w:autoSpaceDE w:val="0"/>
              <w:autoSpaceDN w:val="0"/>
              <w:adjustRightInd w:val="0"/>
              <w:spacing w:before="240" w:after="240"/>
              <w:ind w:right="-91"/>
              <w:rPr>
                <w:rFonts w:cs="Arial"/>
                <w:b/>
                <w:bCs/>
                <w:szCs w:val="24"/>
              </w:rPr>
            </w:pPr>
          </w:p>
          <w:p w14:paraId="33B20A35" w14:textId="77777777" w:rsidR="00892E47" w:rsidRPr="00A64856" w:rsidRDefault="00892E47" w:rsidP="001B07C3">
            <w:pPr>
              <w:autoSpaceDE w:val="0"/>
              <w:autoSpaceDN w:val="0"/>
              <w:adjustRightInd w:val="0"/>
              <w:spacing w:before="240" w:after="240"/>
              <w:ind w:right="-91"/>
              <w:rPr>
                <w:rFonts w:cs="Arial"/>
                <w:b/>
                <w:bCs/>
                <w:szCs w:val="24"/>
              </w:rPr>
            </w:pPr>
          </w:p>
          <w:p w14:paraId="06679DD5" w14:textId="77777777" w:rsidR="00892E47" w:rsidRPr="00A64856" w:rsidRDefault="00892E47" w:rsidP="001B07C3">
            <w:pPr>
              <w:autoSpaceDE w:val="0"/>
              <w:autoSpaceDN w:val="0"/>
              <w:adjustRightInd w:val="0"/>
              <w:spacing w:before="240" w:after="240"/>
              <w:ind w:right="-91"/>
              <w:rPr>
                <w:rFonts w:cs="Arial"/>
                <w:b/>
                <w:bCs/>
                <w:szCs w:val="24"/>
              </w:rPr>
            </w:pPr>
          </w:p>
          <w:p w14:paraId="453995CA" w14:textId="77777777" w:rsidR="00892E47" w:rsidRPr="00A64856" w:rsidRDefault="00892E47" w:rsidP="001B07C3">
            <w:pPr>
              <w:autoSpaceDE w:val="0"/>
              <w:autoSpaceDN w:val="0"/>
              <w:adjustRightInd w:val="0"/>
              <w:spacing w:before="240" w:after="240"/>
              <w:ind w:right="-91"/>
              <w:rPr>
                <w:rFonts w:cs="Arial"/>
                <w:b/>
                <w:bCs/>
                <w:szCs w:val="24"/>
              </w:rPr>
            </w:pPr>
          </w:p>
          <w:p w14:paraId="66C1D133" w14:textId="77777777" w:rsidR="00892E47" w:rsidRPr="00A64856" w:rsidRDefault="00892E47" w:rsidP="001B07C3">
            <w:pPr>
              <w:autoSpaceDE w:val="0"/>
              <w:autoSpaceDN w:val="0"/>
              <w:adjustRightInd w:val="0"/>
              <w:spacing w:before="240" w:after="240"/>
              <w:ind w:right="-91"/>
              <w:rPr>
                <w:rFonts w:cs="Arial"/>
                <w:b/>
                <w:bCs/>
                <w:szCs w:val="24"/>
              </w:rPr>
            </w:pPr>
          </w:p>
          <w:p w14:paraId="325B9412" w14:textId="77777777" w:rsidR="00892E47" w:rsidRPr="00A64856" w:rsidRDefault="00892E47" w:rsidP="001B07C3">
            <w:pPr>
              <w:autoSpaceDE w:val="0"/>
              <w:autoSpaceDN w:val="0"/>
              <w:adjustRightInd w:val="0"/>
              <w:spacing w:before="240" w:after="240"/>
              <w:ind w:right="-91"/>
              <w:rPr>
                <w:rFonts w:cs="Arial"/>
                <w:b/>
                <w:bCs/>
                <w:szCs w:val="24"/>
              </w:rPr>
            </w:pPr>
          </w:p>
          <w:p w14:paraId="4D5331D6" w14:textId="77777777" w:rsidR="00892E47" w:rsidRPr="00A64856" w:rsidRDefault="00892E47" w:rsidP="001B07C3">
            <w:pPr>
              <w:autoSpaceDE w:val="0"/>
              <w:autoSpaceDN w:val="0"/>
              <w:adjustRightInd w:val="0"/>
              <w:spacing w:before="240" w:after="240"/>
              <w:ind w:right="-91"/>
              <w:rPr>
                <w:rFonts w:cs="Arial"/>
                <w:b/>
                <w:bCs/>
                <w:szCs w:val="24"/>
              </w:rPr>
            </w:pPr>
          </w:p>
          <w:p w14:paraId="57B22855" w14:textId="77777777" w:rsidR="00892E47" w:rsidRPr="00A64856" w:rsidRDefault="00892E47" w:rsidP="001B07C3">
            <w:pPr>
              <w:autoSpaceDE w:val="0"/>
              <w:autoSpaceDN w:val="0"/>
              <w:adjustRightInd w:val="0"/>
              <w:spacing w:before="240" w:after="240"/>
              <w:ind w:right="-91"/>
              <w:rPr>
                <w:rFonts w:cs="Arial"/>
                <w:b/>
                <w:bCs/>
                <w:szCs w:val="24"/>
              </w:rPr>
            </w:pPr>
          </w:p>
          <w:p w14:paraId="7B07402B" w14:textId="77777777" w:rsidR="00892E47" w:rsidRPr="00A64856" w:rsidRDefault="00892E47" w:rsidP="001B07C3">
            <w:pPr>
              <w:autoSpaceDE w:val="0"/>
              <w:autoSpaceDN w:val="0"/>
              <w:adjustRightInd w:val="0"/>
              <w:spacing w:before="240" w:after="240"/>
              <w:ind w:right="-91"/>
              <w:rPr>
                <w:rFonts w:cs="Arial"/>
                <w:b/>
                <w:bCs/>
                <w:szCs w:val="24"/>
              </w:rPr>
            </w:pPr>
          </w:p>
          <w:p w14:paraId="0378A57F" w14:textId="77777777" w:rsidR="00892E47" w:rsidRPr="00A64856" w:rsidRDefault="00892E47" w:rsidP="001B07C3">
            <w:pPr>
              <w:autoSpaceDE w:val="0"/>
              <w:autoSpaceDN w:val="0"/>
              <w:adjustRightInd w:val="0"/>
              <w:spacing w:before="240" w:after="240"/>
              <w:ind w:right="-91"/>
              <w:rPr>
                <w:rFonts w:cs="Arial"/>
                <w:b/>
                <w:bCs/>
                <w:szCs w:val="24"/>
              </w:rPr>
            </w:pPr>
          </w:p>
          <w:p w14:paraId="0EECD7C2" w14:textId="77777777" w:rsidR="00892E47" w:rsidRPr="00A64856" w:rsidRDefault="00892E47" w:rsidP="001B07C3">
            <w:pPr>
              <w:autoSpaceDE w:val="0"/>
              <w:autoSpaceDN w:val="0"/>
              <w:adjustRightInd w:val="0"/>
              <w:spacing w:before="240" w:after="240"/>
              <w:ind w:right="-91"/>
              <w:rPr>
                <w:rFonts w:cs="Arial"/>
                <w:b/>
                <w:bCs/>
                <w:szCs w:val="24"/>
              </w:rPr>
            </w:pPr>
          </w:p>
          <w:p w14:paraId="28DE5BB8" w14:textId="77777777" w:rsidR="00892E47" w:rsidRPr="00A64856" w:rsidRDefault="00892E47" w:rsidP="001B07C3">
            <w:pPr>
              <w:autoSpaceDE w:val="0"/>
              <w:autoSpaceDN w:val="0"/>
              <w:adjustRightInd w:val="0"/>
              <w:spacing w:before="240" w:after="240"/>
              <w:ind w:right="-91"/>
              <w:rPr>
                <w:rFonts w:cs="Arial"/>
                <w:b/>
                <w:bCs/>
                <w:szCs w:val="24"/>
              </w:rPr>
            </w:pPr>
          </w:p>
          <w:p w14:paraId="1AD13AB6" w14:textId="77777777" w:rsidR="00892E47" w:rsidRPr="00A64856" w:rsidRDefault="00892E47" w:rsidP="001B07C3">
            <w:pPr>
              <w:autoSpaceDE w:val="0"/>
              <w:autoSpaceDN w:val="0"/>
              <w:adjustRightInd w:val="0"/>
              <w:spacing w:before="240" w:after="240"/>
              <w:ind w:right="-91"/>
              <w:rPr>
                <w:rFonts w:cs="Arial"/>
                <w:b/>
                <w:bCs/>
                <w:szCs w:val="24"/>
              </w:rPr>
            </w:pPr>
          </w:p>
          <w:p w14:paraId="33729AFF" w14:textId="77777777" w:rsidR="00892E47" w:rsidRPr="00A64856" w:rsidRDefault="00892E47" w:rsidP="001B07C3">
            <w:pPr>
              <w:autoSpaceDE w:val="0"/>
              <w:autoSpaceDN w:val="0"/>
              <w:adjustRightInd w:val="0"/>
              <w:spacing w:before="240" w:after="240"/>
              <w:ind w:right="-91"/>
              <w:rPr>
                <w:rFonts w:cs="Arial"/>
                <w:b/>
                <w:bCs/>
                <w:szCs w:val="24"/>
              </w:rPr>
            </w:pPr>
          </w:p>
          <w:p w14:paraId="753AB0B3" w14:textId="77777777" w:rsidR="00892E47" w:rsidRPr="00A64856" w:rsidRDefault="00892E47" w:rsidP="001B07C3">
            <w:pPr>
              <w:autoSpaceDE w:val="0"/>
              <w:autoSpaceDN w:val="0"/>
              <w:adjustRightInd w:val="0"/>
              <w:spacing w:before="240" w:after="240"/>
              <w:ind w:right="-91"/>
              <w:rPr>
                <w:rFonts w:cs="Arial"/>
                <w:b/>
                <w:bCs/>
                <w:szCs w:val="24"/>
              </w:rPr>
            </w:pPr>
          </w:p>
          <w:p w14:paraId="0FF20B0C" w14:textId="77777777" w:rsidR="00892E47" w:rsidRPr="00A64856" w:rsidRDefault="00892E47" w:rsidP="001B07C3">
            <w:pPr>
              <w:autoSpaceDE w:val="0"/>
              <w:autoSpaceDN w:val="0"/>
              <w:adjustRightInd w:val="0"/>
              <w:spacing w:before="240" w:after="240"/>
              <w:ind w:right="-91"/>
              <w:rPr>
                <w:rFonts w:cs="Arial"/>
                <w:b/>
                <w:bCs/>
                <w:szCs w:val="24"/>
              </w:rPr>
            </w:pPr>
          </w:p>
          <w:p w14:paraId="03913C9D" w14:textId="77777777" w:rsidR="00892E47" w:rsidRPr="00A64856" w:rsidRDefault="00892E47" w:rsidP="001B07C3">
            <w:pPr>
              <w:autoSpaceDE w:val="0"/>
              <w:autoSpaceDN w:val="0"/>
              <w:adjustRightInd w:val="0"/>
              <w:spacing w:before="240" w:after="240"/>
              <w:ind w:right="-91"/>
              <w:rPr>
                <w:rFonts w:cs="Arial"/>
                <w:b/>
                <w:bCs/>
                <w:szCs w:val="24"/>
              </w:rPr>
            </w:pPr>
          </w:p>
          <w:p w14:paraId="6B7D7CB6" w14:textId="77777777" w:rsidR="008445F8" w:rsidRPr="00A64856" w:rsidRDefault="008445F8" w:rsidP="001B07C3">
            <w:pPr>
              <w:autoSpaceDE w:val="0"/>
              <w:autoSpaceDN w:val="0"/>
              <w:adjustRightInd w:val="0"/>
              <w:spacing w:before="240" w:after="240"/>
              <w:ind w:right="-91"/>
              <w:rPr>
                <w:rFonts w:cs="Arial"/>
                <w:b/>
                <w:bCs/>
                <w:szCs w:val="24"/>
              </w:rPr>
            </w:pPr>
          </w:p>
          <w:p w14:paraId="4368FAC1" w14:textId="583B06B7" w:rsidR="004544B3" w:rsidRPr="00A64856" w:rsidRDefault="005B12FC" w:rsidP="001B07C3">
            <w:pPr>
              <w:autoSpaceDE w:val="0"/>
              <w:autoSpaceDN w:val="0"/>
              <w:adjustRightInd w:val="0"/>
              <w:spacing w:before="240" w:after="240"/>
              <w:ind w:right="-91"/>
              <w:rPr>
                <w:rFonts w:cs="Arial"/>
                <w:b/>
                <w:bCs/>
                <w:szCs w:val="24"/>
              </w:rPr>
            </w:pPr>
            <w:r w:rsidRPr="00A64856">
              <w:rPr>
                <w:rFonts w:cs="Arial"/>
                <w:b/>
                <w:bCs/>
                <w:szCs w:val="24"/>
              </w:rPr>
              <w:t>Gender</w:t>
            </w:r>
          </w:p>
          <w:p w14:paraId="53BB9DF3" w14:textId="77777777" w:rsidR="005B12FC" w:rsidRPr="00A64856" w:rsidRDefault="005B12FC" w:rsidP="001B07C3">
            <w:pPr>
              <w:autoSpaceDE w:val="0"/>
              <w:autoSpaceDN w:val="0"/>
              <w:adjustRightInd w:val="0"/>
              <w:spacing w:before="240" w:after="240"/>
              <w:ind w:right="-91"/>
              <w:rPr>
                <w:rFonts w:cs="Arial"/>
                <w:b/>
                <w:bCs/>
                <w:szCs w:val="24"/>
              </w:rPr>
            </w:pPr>
          </w:p>
          <w:p w14:paraId="307CE71D" w14:textId="77777777" w:rsidR="005B12FC" w:rsidRPr="00A64856" w:rsidRDefault="005B12FC" w:rsidP="001B07C3">
            <w:pPr>
              <w:autoSpaceDE w:val="0"/>
              <w:autoSpaceDN w:val="0"/>
              <w:adjustRightInd w:val="0"/>
              <w:spacing w:before="240" w:after="240"/>
              <w:ind w:right="-91"/>
              <w:rPr>
                <w:rFonts w:cs="Arial"/>
                <w:b/>
                <w:bCs/>
                <w:szCs w:val="24"/>
              </w:rPr>
            </w:pPr>
          </w:p>
          <w:p w14:paraId="1F15210A" w14:textId="77777777" w:rsidR="005B12FC" w:rsidRPr="00A64856" w:rsidRDefault="005B12FC" w:rsidP="001B07C3">
            <w:pPr>
              <w:autoSpaceDE w:val="0"/>
              <w:autoSpaceDN w:val="0"/>
              <w:adjustRightInd w:val="0"/>
              <w:spacing w:before="240" w:after="240"/>
              <w:ind w:right="-91"/>
              <w:rPr>
                <w:rFonts w:cs="Arial"/>
                <w:b/>
                <w:bCs/>
                <w:szCs w:val="24"/>
              </w:rPr>
            </w:pPr>
          </w:p>
          <w:p w14:paraId="2FDB5900" w14:textId="77777777" w:rsidR="005B12FC" w:rsidRPr="00A64856" w:rsidRDefault="005B12FC" w:rsidP="001B07C3">
            <w:pPr>
              <w:autoSpaceDE w:val="0"/>
              <w:autoSpaceDN w:val="0"/>
              <w:adjustRightInd w:val="0"/>
              <w:spacing w:before="240" w:after="240"/>
              <w:ind w:right="-91"/>
              <w:rPr>
                <w:rFonts w:cs="Arial"/>
                <w:b/>
                <w:bCs/>
                <w:szCs w:val="24"/>
              </w:rPr>
            </w:pPr>
          </w:p>
          <w:p w14:paraId="429F9868" w14:textId="77777777" w:rsidR="005B12FC" w:rsidRPr="00A64856" w:rsidRDefault="005B12FC" w:rsidP="001B07C3">
            <w:pPr>
              <w:autoSpaceDE w:val="0"/>
              <w:autoSpaceDN w:val="0"/>
              <w:adjustRightInd w:val="0"/>
              <w:spacing w:before="240" w:after="240"/>
              <w:ind w:right="-91"/>
              <w:rPr>
                <w:rFonts w:cs="Arial"/>
                <w:b/>
                <w:bCs/>
                <w:szCs w:val="24"/>
              </w:rPr>
            </w:pPr>
          </w:p>
          <w:p w14:paraId="36B2F95C" w14:textId="77777777" w:rsidR="005B12FC" w:rsidRPr="00A64856" w:rsidRDefault="005B12FC" w:rsidP="001B07C3">
            <w:pPr>
              <w:autoSpaceDE w:val="0"/>
              <w:autoSpaceDN w:val="0"/>
              <w:adjustRightInd w:val="0"/>
              <w:spacing w:before="240" w:after="240"/>
              <w:ind w:right="-91"/>
              <w:rPr>
                <w:rFonts w:cs="Arial"/>
                <w:b/>
                <w:bCs/>
                <w:szCs w:val="24"/>
              </w:rPr>
            </w:pPr>
          </w:p>
          <w:p w14:paraId="3FE0FB96" w14:textId="77777777" w:rsidR="005B12FC" w:rsidRPr="00A64856" w:rsidRDefault="005B12FC" w:rsidP="001B07C3">
            <w:pPr>
              <w:autoSpaceDE w:val="0"/>
              <w:autoSpaceDN w:val="0"/>
              <w:adjustRightInd w:val="0"/>
              <w:spacing w:before="240" w:after="240"/>
              <w:ind w:right="-91"/>
              <w:rPr>
                <w:rFonts w:cs="Arial"/>
                <w:b/>
                <w:bCs/>
                <w:szCs w:val="24"/>
              </w:rPr>
            </w:pPr>
          </w:p>
          <w:p w14:paraId="3A8C2EDD" w14:textId="77777777" w:rsidR="005B12FC" w:rsidRPr="00A64856" w:rsidRDefault="005B12FC" w:rsidP="001B07C3">
            <w:pPr>
              <w:autoSpaceDE w:val="0"/>
              <w:autoSpaceDN w:val="0"/>
              <w:adjustRightInd w:val="0"/>
              <w:spacing w:before="240" w:after="240"/>
              <w:ind w:right="-91"/>
              <w:rPr>
                <w:rFonts w:cs="Arial"/>
                <w:b/>
                <w:bCs/>
                <w:szCs w:val="24"/>
              </w:rPr>
            </w:pPr>
          </w:p>
          <w:p w14:paraId="1402A5AA" w14:textId="77777777" w:rsidR="005B12FC" w:rsidRPr="00A64856" w:rsidRDefault="005B12FC" w:rsidP="001B07C3">
            <w:pPr>
              <w:autoSpaceDE w:val="0"/>
              <w:autoSpaceDN w:val="0"/>
              <w:adjustRightInd w:val="0"/>
              <w:spacing w:before="240" w:after="240"/>
              <w:ind w:right="-91"/>
              <w:rPr>
                <w:rFonts w:cs="Arial"/>
                <w:b/>
                <w:bCs/>
                <w:szCs w:val="24"/>
              </w:rPr>
            </w:pPr>
          </w:p>
          <w:p w14:paraId="21C51EF0" w14:textId="77777777" w:rsidR="0000054D" w:rsidRPr="00A64856" w:rsidRDefault="0000054D" w:rsidP="001B07C3">
            <w:pPr>
              <w:autoSpaceDE w:val="0"/>
              <w:autoSpaceDN w:val="0"/>
              <w:adjustRightInd w:val="0"/>
              <w:spacing w:before="240" w:after="240"/>
              <w:ind w:right="-91"/>
              <w:rPr>
                <w:rFonts w:cs="Arial"/>
                <w:b/>
                <w:bCs/>
                <w:szCs w:val="24"/>
              </w:rPr>
            </w:pPr>
          </w:p>
          <w:p w14:paraId="268C86CC" w14:textId="77777777" w:rsidR="0000054D" w:rsidRPr="00A64856" w:rsidRDefault="0000054D" w:rsidP="001B07C3">
            <w:pPr>
              <w:autoSpaceDE w:val="0"/>
              <w:autoSpaceDN w:val="0"/>
              <w:adjustRightInd w:val="0"/>
              <w:spacing w:before="240" w:after="240"/>
              <w:ind w:right="-91"/>
              <w:rPr>
                <w:rFonts w:cs="Arial"/>
                <w:b/>
                <w:bCs/>
                <w:szCs w:val="24"/>
              </w:rPr>
            </w:pPr>
          </w:p>
          <w:p w14:paraId="1FF94BDF" w14:textId="77777777" w:rsidR="00695F2A" w:rsidRPr="00A64856" w:rsidRDefault="00695F2A" w:rsidP="001B07C3">
            <w:pPr>
              <w:autoSpaceDE w:val="0"/>
              <w:autoSpaceDN w:val="0"/>
              <w:adjustRightInd w:val="0"/>
              <w:spacing w:before="240" w:after="240"/>
              <w:ind w:right="-91"/>
              <w:rPr>
                <w:rFonts w:cs="Arial"/>
                <w:b/>
                <w:bCs/>
                <w:szCs w:val="24"/>
              </w:rPr>
            </w:pPr>
          </w:p>
          <w:p w14:paraId="2055406B" w14:textId="073539DB" w:rsidR="004544B3" w:rsidRPr="00A64856" w:rsidRDefault="004544B3" w:rsidP="001B07C3">
            <w:pPr>
              <w:autoSpaceDE w:val="0"/>
              <w:autoSpaceDN w:val="0"/>
              <w:adjustRightInd w:val="0"/>
              <w:spacing w:before="240" w:after="240"/>
              <w:ind w:right="-91"/>
              <w:rPr>
                <w:rFonts w:cs="Arial"/>
                <w:b/>
                <w:bCs/>
                <w:szCs w:val="24"/>
              </w:rPr>
            </w:pPr>
            <w:r w:rsidRPr="00A64856">
              <w:rPr>
                <w:rFonts w:cs="Arial"/>
                <w:b/>
                <w:bCs/>
                <w:szCs w:val="24"/>
              </w:rPr>
              <w:t>Disability</w:t>
            </w:r>
          </w:p>
          <w:p w14:paraId="3079187D" w14:textId="77777777" w:rsidR="005B12FC" w:rsidRPr="00A64856" w:rsidRDefault="005B12FC" w:rsidP="001B07C3">
            <w:pPr>
              <w:autoSpaceDE w:val="0"/>
              <w:autoSpaceDN w:val="0"/>
              <w:adjustRightInd w:val="0"/>
              <w:spacing w:before="240" w:after="240"/>
              <w:ind w:right="-91"/>
              <w:rPr>
                <w:rFonts w:cs="Arial"/>
                <w:b/>
                <w:bCs/>
                <w:szCs w:val="24"/>
              </w:rPr>
            </w:pPr>
          </w:p>
          <w:p w14:paraId="7F2F5352" w14:textId="77777777" w:rsidR="005B12FC" w:rsidRPr="00A64856" w:rsidRDefault="005B12FC" w:rsidP="001B07C3">
            <w:pPr>
              <w:autoSpaceDE w:val="0"/>
              <w:autoSpaceDN w:val="0"/>
              <w:adjustRightInd w:val="0"/>
              <w:spacing w:before="240" w:after="240"/>
              <w:ind w:right="-91"/>
              <w:rPr>
                <w:rFonts w:cs="Arial"/>
                <w:b/>
                <w:bCs/>
                <w:szCs w:val="24"/>
              </w:rPr>
            </w:pPr>
          </w:p>
          <w:p w14:paraId="6DCA1077" w14:textId="77777777" w:rsidR="005B12FC" w:rsidRPr="00A64856" w:rsidRDefault="005B12FC" w:rsidP="001B07C3">
            <w:pPr>
              <w:autoSpaceDE w:val="0"/>
              <w:autoSpaceDN w:val="0"/>
              <w:adjustRightInd w:val="0"/>
              <w:spacing w:before="240" w:after="240"/>
              <w:ind w:right="-91"/>
              <w:rPr>
                <w:rFonts w:cs="Arial"/>
                <w:b/>
                <w:bCs/>
                <w:szCs w:val="24"/>
              </w:rPr>
            </w:pPr>
          </w:p>
          <w:p w14:paraId="59B60D09" w14:textId="77777777" w:rsidR="005B12FC" w:rsidRPr="00A64856" w:rsidRDefault="005B12FC" w:rsidP="001B07C3">
            <w:pPr>
              <w:autoSpaceDE w:val="0"/>
              <w:autoSpaceDN w:val="0"/>
              <w:adjustRightInd w:val="0"/>
              <w:spacing w:before="240" w:after="240"/>
              <w:ind w:right="-91"/>
              <w:rPr>
                <w:rFonts w:cs="Arial"/>
                <w:b/>
                <w:bCs/>
                <w:szCs w:val="24"/>
              </w:rPr>
            </w:pPr>
          </w:p>
          <w:p w14:paraId="14CAC60E" w14:textId="77777777" w:rsidR="005B12FC" w:rsidRPr="00A64856" w:rsidRDefault="005B12FC" w:rsidP="001B07C3">
            <w:pPr>
              <w:autoSpaceDE w:val="0"/>
              <w:autoSpaceDN w:val="0"/>
              <w:adjustRightInd w:val="0"/>
              <w:spacing w:before="240" w:after="240"/>
              <w:ind w:right="-91"/>
              <w:rPr>
                <w:rFonts w:cs="Arial"/>
                <w:b/>
                <w:bCs/>
                <w:szCs w:val="24"/>
              </w:rPr>
            </w:pPr>
          </w:p>
          <w:p w14:paraId="6402AE6A" w14:textId="77777777" w:rsidR="005B12FC" w:rsidRPr="00A64856" w:rsidRDefault="005B12FC" w:rsidP="001B07C3">
            <w:pPr>
              <w:autoSpaceDE w:val="0"/>
              <w:autoSpaceDN w:val="0"/>
              <w:adjustRightInd w:val="0"/>
              <w:spacing w:before="240" w:after="240"/>
              <w:ind w:right="-91"/>
              <w:rPr>
                <w:rFonts w:cs="Arial"/>
                <w:b/>
                <w:bCs/>
                <w:szCs w:val="24"/>
              </w:rPr>
            </w:pPr>
          </w:p>
          <w:p w14:paraId="0B3C8F6C" w14:textId="77777777" w:rsidR="005B12FC" w:rsidRPr="00A64856" w:rsidRDefault="005B12FC" w:rsidP="001B07C3">
            <w:pPr>
              <w:autoSpaceDE w:val="0"/>
              <w:autoSpaceDN w:val="0"/>
              <w:adjustRightInd w:val="0"/>
              <w:spacing w:before="240" w:after="240"/>
              <w:ind w:right="-91"/>
              <w:rPr>
                <w:rFonts w:cs="Arial"/>
                <w:b/>
                <w:bCs/>
                <w:szCs w:val="24"/>
              </w:rPr>
            </w:pPr>
          </w:p>
          <w:p w14:paraId="7665C364" w14:textId="77777777" w:rsidR="005B12FC" w:rsidRPr="00A64856" w:rsidRDefault="005B12FC" w:rsidP="001B07C3">
            <w:pPr>
              <w:autoSpaceDE w:val="0"/>
              <w:autoSpaceDN w:val="0"/>
              <w:adjustRightInd w:val="0"/>
              <w:spacing w:before="240" w:after="240"/>
              <w:ind w:right="-91"/>
              <w:rPr>
                <w:rFonts w:cs="Arial"/>
                <w:b/>
                <w:bCs/>
                <w:szCs w:val="24"/>
              </w:rPr>
            </w:pPr>
          </w:p>
          <w:p w14:paraId="2E65E79B" w14:textId="77777777" w:rsidR="005B12FC" w:rsidRPr="00A64856" w:rsidRDefault="005B12FC" w:rsidP="001B07C3">
            <w:pPr>
              <w:autoSpaceDE w:val="0"/>
              <w:autoSpaceDN w:val="0"/>
              <w:adjustRightInd w:val="0"/>
              <w:spacing w:before="240" w:after="240"/>
              <w:ind w:right="-91"/>
              <w:rPr>
                <w:rFonts w:cs="Arial"/>
                <w:b/>
                <w:bCs/>
                <w:szCs w:val="24"/>
              </w:rPr>
            </w:pPr>
          </w:p>
          <w:p w14:paraId="76CFC64C" w14:textId="1816430D" w:rsidR="00CE752D" w:rsidRPr="00A64856" w:rsidRDefault="00695F2A" w:rsidP="001B07C3">
            <w:pPr>
              <w:autoSpaceDE w:val="0"/>
              <w:autoSpaceDN w:val="0"/>
              <w:adjustRightInd w:val="0"/>
              <w:spacing w:before="240" w:after="240"/>
              <w:ind w:right="-91"/>
              <w:rPr>
                <w:rFonts w:cs="Arial"/>
                <w:b/>
                <w:bCs/>
                <w:szCs w:val="24"/>
              </w:rPr>
            </w:pPr>
            <w:r w:rsidRPr="00A64856">
              <w:rPr>
                <w:rFonts w:cs="Arial"/>
                <w:b/>
                <w:bCs/>
                <w:szCs w:val="24"/>
              </w:rPr>
              <w:t>Race / Ethnic</w:t>
            </w:r>
            <w:r w:rsidR="00A64856">
              <w:rPr>
                <w:rFonts w:cs="Arial"/>
                <w:b/>
                <w:bCs/>
                <w:szCs w:val="24"/>
              </w:rPr>
              <w:t xml:space="preserve"> origin</w:t>
            </w:r>
          </w:p>
          <w:p w14:paraId="6A645BB8" w14:textId="77777777" w:rsidR="00695F2A" w:rsidRPr="00A64856" w:rsidRDefault="00695F2A" w:rsidP="001B07C3">
            <w:pPr>
              <w:autoSpaceDE w:val="0"/>
              <w:autoSpaceDN w:val="0"/>
              <w:adjustRightInd w:val="0"/>
              <w:spacing w:before="240" w:after="240"/>
              <w:ind w:right="-91"/>
              <w:rPr>
                <w:rFonts w:cs="Arial"/>
                <w:b/>
                <w:bCs/>
                <w:szCs w:val="24"/>
              </w:rPr>
            </w:pPr>
          </w:p>
          <w:p w14:paraId="02034146" w14:textId="77777777" w:rsidR="00695F2A" w:rsidRPr="00A64856" w:rsidRDefault="00695F2A" w:rsidP="001B07C3">
            <w:pPr>
              <w:autoSpaceDE w:val="0"/>
              <w:autoSpaceDN w:val="0"/>
              <w:adjustRightInd w:val="0"/>
              <w:spacing w:before="240" w:after="240"/>
              <w:ind w:right="-91"/>
              <w:rPr>
                <w:rFonts w:cs="Arial"/>
                <w:b/>
                <w:bCs/>
                <w:szCs w:val="24"/>
              </w:rPr>
            </w:pPr>
          </w:p>
          <w:p w14:paraId="5DB195AE" w14:textId="77777777" w:rsidR="00695F2A" w:rsidRPr="00A64856" w:rsidRDefault="00695F2A" w:rsidP="001B07C3">
            <w:pPr>
              <w:autoSpaceDE w:val="0"/>
              <w:autoSpaceDN w:val="0"/>
              <w:adjustRightInd w:val="0"/>
              <w:spacing w:before="240" w:after="240"/>
              <w:ind w:right="-91"/>
              <w:rPr>
                <w:rFonts w:cs="Arial"/>
                <w:b/>
                <w:bCs/>
                <w:szCs w:val="24"/>
              </w:rPr>
            </w:pPr>
          </w:p>
          <w:p w14:paraId="16CFAEE3" w14:textId="77777777" w:rsidR="00695F2A" w:rsidRPr="00A64856" w:rsidRDefault="00695F2A" w:rsidP="001B07C3">
            <w:pPr>
              <w:autoSpaceDE w:val="0"/>
              <w:autoSpaceDN w:val="0"/>
              <w:adjustRightInd w:val="0"/>
              <w:spacing w:before="240" w:after="240"/>
              <w:ind w:right="-91"/>
              <w:rPr>
                <w:rFonts w:cs="Arial"/>
                <w:b/>
                <w:bCs/>
                <w:szCs w:val="24"/>
              </w:rPr>
            </w:pPr>
          </w:p>
          <w:p w14:paraId="7B4E9766" w14:textId="77777777" w:rsidR="00695F2A" w:rsidRPr="00A64856" w:rsidRDefault="00695F2A" w:rsidP="001B07C3">
            <w:pPr>
              <w:autoSpaceDE w:val="0"/>
              <w:autoSpaceDN w:val="0"/>
              <w:adjustRightInd w:val="0"/>
              <w:spacing w:before="240" w:after="240"/>
              <w:ind w:right="-91"/>
              <w:rPr>
                <w:rFonts w:cs="Arial"/>
                <w:b/>
                <w:bCs/>
                <w:szCs w:val="24"/>
              </w:rPr>
            </w:pPr>
          </w:p>
          <w:p w14:paraId="257FB3DE" w14:textId="77777777" w:rsidR="00695F2A" w:rsidRPr="00A64856" w:rsidRDefault="00695F2A" w:rsidP="001B07C3">
            <w:pPr>
              <w:autoSpaceDE w:val="0"/>
              <w:autoSpaceDN w:val="0"/>
              <w:adjustRightInd w:val="0"/>
              <w:spacing w:before="240" w:after="240"/>
              <w:ind w:right="-91"/>
              <w:rPr>
                <w:rFonts w:cs="Arial"/>
                <w:b/>
                <w:bCs/>
                <w:szCs w:val="24"/>
              </w:rPr>
            </w:pPr>
          </w:p>
          <w:p w14:paraId="15B9C0E0" w14:textId="77777777" w:rsidR="00695F2A" w:rsidRPr="00A64856" w:rsidRDefault="00695F2A" w:rsidP="001B07C3">
            <w:pPr>
              <w:autoSpaceDE w:val="0"/>
              <w:autoSpaceDN w:val="0"/>
              <w:adjustRightInd w:val="0"/>
              <w:spacing w:before="240" w:after="240"/>
              <w:ind w:right="-91"/>
              <w:rPr>
                <w:rFonts w:cs="Arial"/>
                <w:b/>
                <w:bCs/>
                <w:szCs w:val="24"/>
              </w:rPr>
            </w:pPr>
          </w:p>
          <w:p w14:paraId="4A02587F" w14:textId="77777777" w:rsidR="00695F2A" w:rsidRPr="00A64856" w:rsidRDefault="00695F2A" w:rsidP="001B07C3">
            <w:pPr>
              <w:autoSpaceDE w:val="0"/>
              <w:autoSpaceDN w:val="0"/>
              <w:adjustRightInd w:val="0"/>
              <w:spacing w:before="240" w:after="240"/>
              <w:ind w:right="-91"/>
              <w:rPr>
                <w:rFonts w:cs="Arial"/>
                <w:b/>
                <w:bCs/>
                <w:szCs w:val="24"/>
              </w:rPr>
            </w:pPr>
          </w:p>
          <w:p w14:paraId="31DC27E5" w14:textId="77777777" w:rsidR="00695F2A" w:rsidRPr="00A64856" w:rsidRDefault="00695F2A" w:rsidP="001B07C3">
            <w:pPr>
              <w:autoSpaceDE w:val="0"/>
              <w:autoSpaceDN w:val="0"/>
              <w:adjustRightInd w:val="0"/>
              <w:spacing w:before="240" w:after="240"/>
              <w:ind w:right="-91"/>
              <w:rPr>
                <w:rFonts w:cs="Arial"/>
                <w:b/>
                <w:bCs/>
                <w:szCs w:val="24"/>
              </w:rPr>
            </w:pPr>
          </w:p>
          <w:p w14:paraId="43801F58" w14:textId="77777777" w:rsidR="00695F2A" w:rsidRPr="00A64856" w:rsidRDefault="00695F2A" w:rsidP="001B07C3">
            <w:pPr>
              <w:autoSpaceDE w:val="0"/>
              <w:autoSpaceDN w:val="0"/>
              <w:adjustRightInd w:val="0"/>
              <w:spacing w:before="240" w:after="240"/>
              <w:ind w:right="-91"/>
              <w:rPr>
                <w:rFonts w:cs="Arial"/>
                <w:b/>
                <w:bCs/>
                <w:szCs w:val="24"/>
              </w:rPr>
            </w:pPr>
          </w:p>
          <w:p w14:paraId="0A2FFED4" w14:textId="77777777" w:rsidR="00695F2A" w:rsidRPr="00A64856" w:rsidRDefault="00695F2A" w:rsidP="001B07C3">
            <w:pPr>
              <w:autoSpaceDE w:val="0"/>
              <w:autoSpaceDN w:val="0"/>
              <w:adjustRightInd w:val="0"/>
              <w:spacing w:before="240" w:after="240"/>
              <w:ind w:right="-91"/>
              <w:rPr>
                <w:rFonts w:cs="Arial"/>
                <w:b/>
                <w:bCs/>
                <w:szCs w:val="24"/>
              </w:rPr>
            </w:pPr>
          </w:p>
          <w:p w14:paraId="063D0313" w14:textId="77777777" w:rsidR="00695F2A" w:rsidRPr="00A64856" w:rsidRDefault="00695F2A" w:rsidP="001B07C3">
            <w:pPr>
              <w:autoSpaceDE w:val="0"/>
              <w:autoSpaceDN w:val="0"/>
              <w:adjustRightInd w:val="0"/>
              <w:spacing w:before="240" w:after="240"/>
              <w:ind w:right="-91"/>
              <w:rPr>
                <w:rFonts w:cs="Arial"/>
                <w:b/>
                <w:bCs/>
                <w:szCs w:val="24"/>
              </w:rPr>
            </w:pPr>
          </w:p>
          <w:p w14:paraId="6EFD7702" w14:textId="77777777" w:rsidR="00695F2A" w:rsidRPr="00A64856" w:rsidRDefault="00695F2A" w:rsidP="001B07C3">
            <w:pPr>
              <w:autoSpaceDE w:val="0"/>
              <w:autoSpaceDN w:val="0"/>
              <w:adjustRightInd w:val="0"/>
              <w:spacing w:before="240" w:after="240"/>
              <w:ind w:right="-91"/>
              <w:rPr>
                <w:rFonts w:cs="Arial"/>
                <w:b/>
                <w:bCs/>
                <w:szCs w:val="24"/>
              </w:rPr>
            </w:pPr>
          </w:p>
          <w:p w14:paraId="63D6D9EC" w14:textId="2C0F684B" w:rsidR="00D27DFF" w:rsidRPr="00A64856" w:rsidRDefault="00D27DFF" w:rsidP="001B07C3">
            <w:pPr>
              <w:autoSpaceDE w:val="0"/>
              <w:autoSpaceDN w:val="0"/>
              <w:adjustRightInd w:val="0"/>
              <w:spacing w:before="240" w:after="240"/>
              <w:ind w:right="-91"/>
              <w:rPr>
                <w:rFonts w:cs="Arial"/>
                <w:b/>
                <w:bCs/>
                <w:szCs w:val="24"/>
              </w:rPr>
            </w:pPr>
            <w:r w:rsidRPr="00A64856">
              <w:rPr>
                <w:rFonts w:cs="Arial"/>
                <w:b/>
                <w:bCs/>
                <w:szCs w:val="24"/>
              </w:rPr>
              <w:t>Age</w:t>
            </w:r>
          </w:p>
          <w:p w14:paraId="10B5870A" w14:textId="77777777" w:rsidR="005B12FC" w:rsidRPr="00A64856" w:rsidRDefault="005B12FC" w:rsidP="001B07C3">
            <w:pPr>
              <w:autoSpaceDE w:val="0"/>
              <w:autoSpaceDN w:val="0"/>
              <w:adjustRightInd w:val="0"/>
              <w:spacing w:before="240" w:after="240"/>
              <w:ind w:right="-91"/>
              <w:rPr>
                <w:rFonts w:cs="Arial"/>
                <w:b/>
                <w:bCs/>
                <w:szCs w:val="24"/>
              </w:rPr>
            </w:pPr>
          </w:p>
          <w:p w14:paraId="6587DAA7" w14:textId="77777777" w:rsidR="005B12FC" w:rsidRPr="00A64856" w:rsidRDefault="005B12FC" w:rsidP="001B07C3">
            <w:pPr>
              <w:autoSpaceDE w:val="0"/>
              <w:autoSpaceDN w:val="0"/>
              <w:adjustRightInd w:val="0"/>
              <w:spacing w:before="240" w:after="240"/>
              <w:ind w:right="-91"/>
              <w:rPr>
                <w:rFonts w:cs="Arial"/>
                <w:b/>
                <w:bCs/>
                <w:szCs w:val="24"/>
              </w:rPr>
            </w:pPr>
          </w:p>
          <w:p w14:paraId="463997CA" w14:textId="77777777" w:rsidR="005B12FC" w:rsidRPr="00A64856" w:rsidRDefault="005B12FC" w:rsidP="001B07C3">
            <w:pPr>
              <w:autoSpaceDE w:val="0"/>
              <w:autoSpaceDN w:val="0"/>
              <w:adjustRightInd w:val="0"/>
              <w:spacing w:before="240" w:after="240"/>
              <w:ind w:right="-91"/>
              <w:rPr>
                <w:rFonts w:cs="Arial"/>
                <w:b/>
                <w:bCs/>
                <w:szCs w:val="24"/>
              </w:rPr>
            </w:pPr>
          </w:p>
          <w:p w14:paraId="2E8E0B17" w14:textId="77777777" w:rsidR="005B12FC" w:rsidRPr="00A64856" w:rsidRDefault="005B12FC" w:rsidP="001B07C3">
            <w:pPr>
              <w:autoSpaceDE w:val="0"/>
              <w:autoSpaceDN w:val="0"/>
              <w:adjustRightInd w:val="0"/>
              <w:spacing w:before="240" w:after="240"/>
              <w:ind w:right="-91"/>
              <w:rPr>
                <w:rFonts w:cs="Arial"/>
                <w:b/>
                <w:bCs/>
                <w:szCs w:val="24"/>
              </w:rPr>
            </w:pPr>
          </w:p>
          <w:p w14:paraId="7AFC19B2" w14:textId="77777777" w:rsidR="005B12FC" w:rsidRPr="00A64856" w:rsidRDefault="005B12FC" w:rsidP="001B07C3">
            <w:pPr>
              <w:autoSpaceDE w:val="0"/>
              <w:autoSpaceDN w:val="0"/>
              <w:adjustRightInd w:val="0"/>
              <w:spacing w:before="240" w:after="240"/>
              <w:ind w:right="-91"/>
              <w:rPr>
                <w:rFonts w:cs="Arial"/>
                <w:b/>
                <w:bCs/>
                <w:szCs w:val="24"/>
              </w:rPr>
            </w:pPr>
          </w:p>
          <w:p w14:paraId="3195729F" w14:textId="77777777" w:rsidR="005B12FC" w:rsidRPr="00A64856" w:rsidRDefault="005B12FC" w:rsidP="001B07C3">
            <w:pPr>
              <w:autoSpaceDE w:val="0"/>
              <w:autoSpaceDN w:val="0"/>
              <w:adjustRightInd w:val="0"/>
              <w:spacing w:before="240" w:after="240"/>
              <w:ind w:right="-91"/>
              <w:rPr>
                <w:rFonts w:cs="Arial"/>
                <w:b/>
                <w:bCs/>
                <w:szCs w:val="24"/>
              </w:rPr>
            </w:pPr>
          </w:p>
          <w:p w14:paraId="37EAC00B" w14:textId="77777777" w:rsidR="005B12FC" w:rsidRPr="00A64856" w:rsidRDefault="005B12FC" w:rsidP="001B07C3">
            <w:pPr>
              <w:autoSpaceDE w:val="0"/>
              <w:autoSpaceDN w:val="0"/>
              <w:adjustRightInd w:val="0"/>
              <w:spacing w:before="240" w:after="240"/>
              <w:ind w:right="-91"/>
              <w:rPr>
                <w:rFonts w:cs="Arial"/>
                <w:b/>
                <w:bCs/>
                <w:szCs w:val="24"/>
              </w:rPr>
            </w:pPr>
          </w:p>
          <w:p w14:paraId="0DE2E057" w14:textId="77777777" w:rsidR="005B12FC" w:rsidRPr="00A64856" w:rsidRDefault="005B12FC" w:rsidP="001B07C3">
            <w:pPr>
              <w:autoSpaceDE w:val="0"/>
              <w:autoSpaceDN w:val="0"/>
              <w:adjustRightInd w:val="0"/>
              <w:spacing w:before="240" w:after="240"/>
              <w:ind w:right="-91"/>
              <w:rPr>
                <w:rFonts w:cs="Arial"/>
                <w:b/>
                <w:bCs/>
                <w:szCs w:val="24"/>
              </w:rPr>
            </w:pPr>
          </w:p>
          <w:p w14:paraId="0117335A" w14:textId="77777777" w:rsidR="005B12FC" w:rsidRPr="00A64856" w:rsidRDefault="005B12FC" w:rsidP="001B07C3">
            <w:pPr>
              <w:autoSpaceDE w:val="0"/>
              <w:autoSpaceDN w:val="0"/>
              <w:adjustRightInd w:val="0"/>
              <w:spacing w:before="240" w:after="240"/>
              <w:ind w:right="-91"/>
              <w:rPr>
                <w:rFonts w:cs="Arial"/>
                <w:szCs w:val="24"/>
              </w:rPr>
            </w:pPr>
          </w:p>
          <w:p w14:paraId="349B8618" w14:textId="77777777" w:rsidR="00525220" w:rsidRPr="00A64856" w:rsidRDefault="00525220" w:rsidP="001B07C3">
            <w:pPr>
              <w:autoSpaceDE w:val="0"/>
              <w:autoSpaceDN w:val="0"/>
              <w:adjustRightInd w:val="0"/>
              <w:spacing w:before="240" w:after="240"/>
              <w:ind w:right="-91"/>
              <w:rPr>
                <w:rFonts w:cs="Arial"/>
                <w:b/>
                <w:bCs/>
                <w:szCs w:val="24"/>
              </w:rPr>
            </w:pPr>
          </w:p>
          <w:p w14:paraId="4B4D0DB6" w14:textId="59372251" w:rsidR="005B12FC" w:rsidRPr="00A64856" w:rsidRDefault="005B12FC" w:rsidP="001B07C3">
            <w:pPr>
              <w:autoSpaceDE w:val="0"/>
              <w:autoSpaceDN w:val="0"/>
              <w:adjustRightInd w:val="0"/>
              <w:spacing w:before="240" w:after="240"/>
              <w:ind w:right="-91"/>
              <w:rPr>
                <w:rFonts w:cs="Arial"/>
                <w:b/>
                <w:bCs/>
                <w:szCs w:val="24"/>
              </w:rPr>
            </w:pPr>
            <w:proofErr w:type="spellStart"/>
            <w:r w:rsidRPr="00A64856">
              <w:rPr>
                <w:rFonts w:cs="Arial"/>
                <w:b/>
                <w:bCs/>
                <w:szCs w:val="24"/>
              </w:rPr>
              <w:t>Dependancy</w:t>
            </w:r>
            <w:proofErr w:type="spellEnd"/>
            <w:r w:rsidR="00695F2A" w:rsidRPr="00A64856">
              <w:rPr>
                <w:rFonts w:cs="Arial"/>
                <w:b/>
                <w:bCs/>
                <w:szCs w:val="24"/>
              </w:rPr>
              <w:t xml:space="preserve"> </w:t>
            </w:r>
          </w:p>
          <w:p w14:paraId="24290D26" w14:textId="77777777" w:rsidR="005B12FC" w:rsidRPr="00A64856" w:rsidRDefault="005B12FC" w:rsidP="001B07C3">
            <w:pPr>
              <w:autoSpaceDE w:val="0"/>
              <w:autoSpaceDN w:val="0"/>
              <w:adjustRightInd w:val="0"/>
              <w:spacing w:before="240" w:after="240"/>
              <w:ind w:right="-91"/>
              <w:rPr>
                <w:rFonts w:cs="Arial"/>
                <w:b/>
                <w:bCs/>
                <w:szCs w:val="24"/>
              </w:rPr>
            </w:pPr>
          </w:p>
          <w:p w14:paraId="16022F02" w14:textId="77777777" w:rsidR="005B12FC" w:rsidRPr="00A64856" w:rsidRDefault="005B12FC" w:rsidP="001B07C3">
            <w:pPr>
              <w:autoSpaceDE w:val="0"/>
              <w:autoSpaceDN w:val="0"/>
              <w:adjustRightInd w:val="0"/>
              <w:spacing w:before="240" w:after="240"/>
              <w:ind w:right="-91"/>
              <w:rPr>
                <w:rFonts w:cs="Arial"/>
                <w:b/>
                <w:bCs/>
                <w:szCs w:val="24"/>
              </w:rPr>
            </w:pPr>
          </w:p>
          <w:p w14:paraId="0FD9A84C" w14:textId="77777777" w:rsidR="005B12FC" w:rsidRPr="00A64856" w:rsidRDefault="005B12FC" w:rsidP="001B07C3">
            <w:pPr>
              <w:autoSpaceDE w:val="0"/>
              <w:autoSpaceDN w:val="0"/>
              <w:adjustRightInd w:val="0"/>
              <w:spacing w:before="240" w:after="240"/>
              <w:ind w:right="-91"/>
              <w:rPr>
                <w:rFonts w:cs="Arial"/>
                <w:b/>
                <w:bCs/>
                <w:szCs w:val="24"/>
              </w:rPr>
            </w:pPr>
          </w:p>
          <w:p w14:paraId="49B77F5F" w14:textId="77777777" w:rsidR="00D72282" w:rsidRPr="00A64856" w:rsidRDefault="00D72282" w:rsidP="001B07C3">
            <w:pPr>
              <w:autoSpaceDE w:val="0"/>
              <w:autoSpaceDN w:val="0"/>
              <w:adjustRightInd w:val="0"/>
              <w:spacing w:before="240" w:after="240"/>
              <w:ind w:right="-91"/>
              <w:rPr>
                <w:rFonts w:cs="Arial"/>
                <w:b/>
                <w:bCs/>
                <w:szCs w:val="24"/>
              </w:rPr>
            </w:pPr>
          </w:p>
          <w:p w14:paraId="146CBEF9" w14:textId="77777777" w:rsidR="00D72282" w:rsidRPr="00A64856" w:rsidRDefault="00D72282" w:rsidP="001B07C3">
            <w:pPr>
              <w:autoSpaceDE w:val="0"/>
              <w:autoSpaceDN w:val="0"/>
              <w:adjustRightInd w:val="0"/>
              <w:spacing w:before="240" w:after="240"/>
              <w:ind w:right="-91"/>
              <w:rPr>
                <w:rFonts w:cs="Arial"/>
                <w:b/>
                <w:bCs/>
                <w:szCs w:val="24"/>
              </w:rPr>
            </w:pPr>
          </w:p>
          <w:p w14:paraId="7E635140" w14:textId="77777777" w:rsidR="00D72282" w:rsidRPr="00A64856" w:rsidRDefault="00D72282" w:rsidP="001B07C3">
            <w:pPr>
              <w:autoSpaceDE w:val="0"/>
              <w:autoSpaceDN w:val="0"/>
              <w:adjustRightInd w:val="0"/>
              <w:spacing w:before="240" w:after="240"/>
              <w:ind w:right="-91"/>
              <w:rPr>
                <w:rFonts w:cs="Arial"/>
                <w:b/>
                <w:bCs/>
                <w:szCs w:val="24"/>
              </w:rPr>
            </w:pPr>
          </w:p>
          <w:p w14:paraId="47B60838" w14:textId="77777777" w:rsidR="00D72282" w:rsidRPr="00A64856" w:rsidRDefault="00D72282" w:rsidP="001B07C3">
            <w:pPr>
              <w:autoSpaceDE w:val="0"/>
              <w:autoSpaceDN w:val="0"/>
              <w:adjustRightInd w:val="0"/>
              <w:spacing w:before="240" w:after="240"/>
              <w:ind w:right="-91"/>
              <w:rPr>
                <w:rFonts w:cs="Arial"/>
                <w:b/>
                <w:bCs/>
                <w:szCs w:val="24"/>
              </w:rPr>
            </w:pPr>
          </w:p>
          <w:p w14:paraId="4FF22325" w14:textId="77777777" w:rsidR="005B12FC" w:rsidRPr="00A64856" w:rsidRDefault="005B12FC" w:rsidP="001B07C3">
            <w:pPr>
              <w:autoSpaceDE w:val="0"/>
              <w:autoSpaceDN w:val="0"/>
              <w:adjustRightInd w:val="0"/>
              <w:spacing w:before="240" w:after="240"/>
              <w:ind w:right="-91"/>
              <w:rPr>
                <w:rFonts w:cs="Arial"/>
                <w:b/>
                <w:bCs/>
                <w:szCs w:val="24"/>
              </w:rPr>
            </w:pPr>
            <w:r w:rsidRPr="00A64856">
              <w:rPr>
                <w:rFonts w:cs="Arial"/>
                <w:b/>
                <w:bCs/>
                <w:szCs w:val="24"/>
              </w:rPr>
              <w:t>Marital status</w:t>
            </w:r>
          </w:p>
          <w:p w14:paraId="539BB21A" w14:textId="77777777" w:rsidR="004E3589" w:rsidRPr="00A64856" w:rsidRDefault="004E3589" w:rsidP="001B07C3">
            <w:pPr>
              <w:autoSpaceDE w:val="0"/>
              <w:autoSpaceDN w:val="0"/>
              <w:adjustRightInd w:val="0"/>
              <w:spacing w:before="240" w:after="240"/>
              <w:ind w:right="-91"/>
              <w:rPr>
                <w:rFonts w:cs="Arial"/>
                <w:b/>
                <w:bCs/>
                <w:szCs w:val="24"/>
              </w:rPr>
            </w:pPr>
          </w:p>
          <w:p w14:paraId="51D9AB12" w14:textId="77777777" w:rsidR="004E3589" w:rsidRPr="00A64856" w:rsidRDefault="004E3589" w:rsidP="001B07C3">
            <w:pPr>
              <w:autoSpaceDE w:val="0"/>
              <w:autoSpaceDN w:val="0"/>
              <w:adjustRightInd w:val="0"/>
              <w:spacing w:before="240" w:after="240"/>
              <w:ind w:right="-91"/>
              <w:rPr>
                <w:rFonts w:cs="Arial"/>
                <w:b/>
                <w:bCs/>
                <w:szCs w:val="24"/>
              </w:rPr>
            </w:pPr>
          </w:p>
          <w:p w14:paraId="4BE5EBF1" w14:textId="77777777" w:rsidR="004E3589" w:rsidRPr="00A64856" w:rsidRDefault="004E3589" w:rsidP="001B07C3">
            <w:pPr>
              <w:autoSpaceDE w:val="0"/>
              <w:autoSpaceDN w:val="0"/>
              <w:adjustRightInd w:val="0"/>
              <w:spacing w:before="240" w:after="240"/>
              <w:ind w:right="-91"/>
              <w:rPr>
                <w:rFonts w:cs="Arial"/>
                <w:b/>
                <w:bCs/>
                <w:szCs w:val="24"/>
              </w:rPr>
            </w:pPr>
          </w:p>
          <w:p w14:paraId="6DCD3264" w14:textId="77777777" w:rsidR="004E3589" w:rsidRPr="00A64856" w:rsidRDefault="004E3589" w:rsidP="001B07C3">
            <w:pPr>
              <w:autoSpaceDE w:val="0"/>
              <w:autoSpaceDN w:val="0"/>
              <w:adjustRightInd w:val="0"/>
              <w:spacing w:before="240" w:after="240"/>
              <w:ind w:right="-91"/>
              <w:rPr>
                <w:rFonts w:cs="Arial"/>
                <w:b/>
                <w:bCs/>
                <w:szCs w:val="24"/>
              </w:rPr>
            </w:pPr>
          </w:p>
          <w:p w14:paraId="01951215" w14:textId="004CA084" w:rsidR="004E3589" w:rsidRPr="00A64856" w:rsidRDefault="004E3589" w:rsidP="001B07C3">
            <w:pPr>
              <w:autoSpaceDE w:val="0"/>
              <w:autoSpaceDN w:val="0"/>
              <w:adjustRightInd w:val="0"/>
              <w:spacing w:before="240" w:after="240"/>
              <w:ind w:right="-91"/>
              <w:rPr>
                <w:rFonts w:cs="Arial"/>
                <w:b/>
                <w:bCs/>
                <w:szCs w:val="24"/>
              </w:rPr>
            </w:pPr>
            <w:r w:rsidRPr="00A64856">
              <w:rPr>
                <w:rFonts w:cs="Arial"/>
                <w:b/>
                <w:bCs/>
                <w:szCs w:val="24"/>
              </w:rPr>
              <w:t>Sexual Orientation</w:t>
            </w:r>
          </w:p>
        </w:tc>
        <w:tc>
          <w:tcPr>
            <w:tcW w:w="8090" w:type="dxa"/>
            <w:shd w:val="clear" w:color="auto" w:fill="auto"/>
          </w:tcPr>
          <w:p w14:paraId="4EE34E80" w14:textId="77777777" w:rsidR="004544B3" w:rsidRDefault="004544B3" w:rsidP="006A75E1">
            <w:pPr>
              <w:jc w:val="both"/>
              <w:rPr>
                <w:rFonts w:cs="Arial"/>
                <w:szCs w:val="24"/>
                <w:lang w:val="en-US"/>
              </w:rPr>
            </w:pPr>
          </w:p>
          <w:p w14:paraId="0147580D" w14:textId="5D91A84D" w:rsidR="004544B3" w:rsidRDefault="004544B3" w:rsidP="009B30C9">
            <w:pPr>
              <w:spacing w:after="120"/>
              <w:ind w:left="68" w:right="187"/>
              <w:rPr>
                <w:szCs w:val="24"/>
              </w:rPr>
            </w:pPr>
            <w:r>
              <w:rPr>
                <w:szCs w:val="24"/>
              </w:rPr>
              <w:t xml:space="preserve">The </w:t>
            </w:r>
            <w:r w:rsidR="00D33098">
              <w:rPr>
                <w:szCs w:val="24"/>
              </w:rPr>
              <w:t xml:space="preserve">proposal to operate within </w:t>
            </w:r>
            <w:r w:rsidR="0096635A">
              <w:rPr>
                <w:szCs w:val="24"/>
              </w:rPr>
              <w:t xml:space="preserve">a </w:t>
            </w:r>
            <w:r w:rsidR="009B30C9">
              <w:rPr>
                <w:szCs w:val="24"/>
              </w:rPr>
              <w:t xml:space="preserve">considerably </w:t>
            </w:r>
            <w:r w:rsidR="0096635A">
              <w:rPr>
                <w:szCs w:val="24"/>
              </w:rPr>
              <w:t>reduced</w:t>
            </w:r>
            <w:r w:rsidR="00D33098">
              <w:rPr>
                <w:szCs w:val="24"/>
              </w:rPr>
              <w:t xml:space="preserve"> baseline budget </w:t>
            </w:r>
            <w:r w:rsidR="00E565F4">
              <w:rPr>
                <w:szCs w:val="24"/>
              </w:rPr>
              <w:t>is likely to necessitate the</w:t>
            </w:r>
            <w:r w:rsidR="00D33098">
              <w:rPr>
                <w:szCs w:val="24"/>
              </w:rPr>
              <w:t xml:space="preserve"> curtail</w:t>
            </w:r>
            <w:r w:rsidR="00E565F4">
              <w:rPr>
                <w:szCs w:val="24"/>
              </w:rPr>
              <w:t>ment of</w:t>
            </w:r>
            <w:r w:rsidR="00D33098">
              <w:rPr>
                <w:szCs w:val="24"/>
              </w:rPr>
              <w:t xml:space="preserve"> </w:t>
            </w:r>
            <w:r w:rsidR="0098000B">
              <w:rPr>
                <w:szCs w:val="24"/>
              </w:rPr>
              <w:t xml:space="preserve">a considerable number of </w:t>
            </w:r>
            <w:r w:rsidR="00E565F4">
              <w:rPr>
                <w:szCs w:val="24"/>
              </w:rPr>
              <w:t xml:space="preserve">both present and </w:t>
            </w:r>
            <w:r w:rsidR="00D33098">
              <w:rPr>
                <w:szCs w:val="24"/>
              </w:rPr>
              <w:t xml:space="preserve">future initiatives and </w:t>
            </w:r>
            <w:r w:rsidR="00E565F4">
              <w:rPr>
                <w:szCs w:val="24"/>
              </w:rPr>
              <w:t xml:space="preserve">programmes of work. This will </w:t>
            </w:r>
            <w:r w:rsidR="0077157A">
              <w:rPr>
                <w:szCs w:val="24"/>
              </w:rPr>
              <w:t xml:space="preserve">limit opportunities </w:t>
            </w:r>
            <w:r w:rsidR="00E565F4">
              <w:rPr>
                <w:szCs w:val="24"/>
              </w:rPr>
              <w:t>for a number of Section 75 groups</w:t>
            </w:r>
            <w:r w:rsidR="0077157A">
              <w:rPr>
                <w:szCs w:val="24"/>
              </w:rPr>
              <w:t>.</w:t>
            </w:r>
            <w:r w:rsidR="00D33098">
              <w:rPr>
                <w:szCs w:val="24"/>
              </w:rPr>
              <w:t xml:space="preserve"> </w:t>
            </w:r>
          </w:p>
          <w:p w14:paraId="1029F27D" w14:textId="6B8B7F74" w:rsidR="009B30C9" w:rsidRDefault="009B30C9" w:rsidP="009B30C9">
            <w:pPr>
              <w:spacing w:after="120"/>
              <w:ind w:left="68" w:right="187"/>
              <w:rPr>
                <w:szCs w:val="24"/>
              </w:rPr>
            </w:pPr>
            <w:r>
              <w:rPr>
                <w:szCs w:val="24"/>
              </w:rPr>
              <w:t xml:space="preserve">DfE’s Draft Audit of Inequalities and Action Plan 2022 – 2027 (April, 2023) makes clear the range of key inequalities </w:t>
            </w:r>
            <w:r w:rsidR="00090518">
              <w:rPr>
                <w:szCs w:val="24"/>
              </w:rPr>
              <w:t xml:space="preserve">that persist </w:t>
            </w:r>
            <w:r>
              <w:rPr>
                <w:szCs w:val="24"/>
              </w:rPr>
              <w:t>within the NI labour market, along with the positive action measures that it wishes to introduce to ameliorate these discrepancies. In summary, the key inequalities by Section 75 category are:</w:t>
            </w:r>
          </w:p>
          <w:p w14:paraId="106281A7" w14:textId="5CAA3EA3" w:rsidR="009B30C9" w:rsidRPr="00090518" w:rsidRDefault="009B30C9" w:rsidP="009B30C9">
            <w:pPr>
              <w:spacing w:after="120"/>
              <w:ind w:left="68" w:right="187"/>
              <w:rPr>
                <w:szCs w:val="24"/>
                <w:u w:val="single"/>
              </w:rPr>
            </w:pPr>
            <w:r w:rsidRPr="00090518">
              <w:rPr>
                <w:szCs w:val="24"/>
                <w:u w:val="single"/>
              </w:rPr>
              <w:t xml:space="preserve">Religious </w:t>
            </w:r>
            <w:r w:rsidR="00090518">
              <w:rPr>
                <w:szCs w:val="24"/>
                <w:u w:val="single"/>
              </w:rPr>
              <w:t>belief</w:t>
            </w:r>
            <w:r w:rsidR="00461E25">
              <w:rPr>
                <w:szCs w:val="24"/>
                <w:u w:val="single"/>
              </w:rPr>
              <w:t xml:space="preserve"> / Political opinion</w:t>
            </w:r>
          </w:p>
          <w:p w14:paraId="385B3ED8" w14:textId="776C3D3B" w:rsidR="00461E25" w:rsidRPr="00461E25" w:rsidRDefault="00461E25" w:rsidP="00A64856">
            <w:pPr>
              <w:spacing w:after="120"/>
              <w:ind w:left="68" w:right="187"/>
              <w:rPr>
                <w:szCs w:val="24"/>
              </w:rPr>
            </w:pPr>
            <w:r w:rsidRPr="00461E25">
              <w:rPr>
                <w:szCs w:val="24"/>
              </w:rPr>
              <w:t xml:space="preserve">It is generally acknowledged that the fair employment legislation has been effective in helping to reduce religious discrimination within the labour market (Osborne, R. &amp; Shuttleworth, </w:t>
            </w:r>
            <w:smartTag w:uri="urn:schemas-microsoft-com:office:smarttags" w:element="place">
              <w:r w:rsidRPr="00461E25">
                <w:rPr>
                  <w:szCs w:val="24"/>
                </w:rPr>
                <w:t>I.</w:t>
              </w:r>
            </w:smartTag>
            <w:r w:rsidRPr="00461E25">
              <w:rPr>
                <w:szCs w:val="24"/>
              </w:rPr>
              <w:t xml:space="preserve"> [2004].  </w:t>
            </w:r>
            <w:r w:rsidRPr="00461E25">
              <w:rPr>
                <w:i/>
                <w:szCs w:val="24"/>
              </w:rPr>
              <w:t>Fair Employment in NI: A Generation On.</w:t>
            </w:r>
            <w:r w:rsidRPr="00461E25">
              <w:rPr>
                <w:szCs w:val="24"/>
              </w:rPr>
              <w:t xml:space="preserve"> </w:t>
            </w:r>
            <w:smartTag w:uri="urn:schemas-microsoft-com:office:smarttags" w:element="place">
              <w:smartTag w:uri="urn:schemas-microsoft-com:office:smarttags" w:element="City">
                <w:r w:rsidRPr="00461E25">
                  <w:rPr>
                    <w:szCs w:val="24"/>
                  </w:rPr>
                  <w:t>Belfast</w:t>
                </w:r>
              </w:smartTag>
            </w:smartTag>
            <w:r w:rsidRPr="00461E25">
              <w:rPr>
                <w:szCs w:val="24"/>
              </w:rPr>
              <w:t>: Blackstaff Press).  For example, according to recent statistics from the Equality Commission’s Fair Employment Monitoring Report No.32</w:t>
            </w:r>
            <w:r w:rsidRPr="00461E25">
              <w:rPr>
                <w:szCs w:val="24"/>
                <w:vertAlign w:val="superscript"/>
              </w:rPr>
              <w:footnoteReference w:id="1"/>
            </w:r>
            <w:r w:rsidRPr="00461E25">
              <w:rPr>
                <w:szCs w:val="24"/>
              </w:rPr>
              <w:t>, the composition of the monitored workforce had moved to 50% Protestant, 50% Catholic (excluding others; from 65% / 35% in 1990).</w:t>
            </w:r>
          </w:p>
          <w:p w14:paraId="10EEDAFA" w14:textId="76E1E561" w:rsidR="00461E25" w:rsidRPr="00461E25" w:rsidRDefault="00461E25" w:rsidP="00461E25">
            <w:pPr>
              <w:spacing w:after="120"/>
              <w:ind w:left="68" w:right="187"/>
              <w:rPr>
                <w:szCs w:val="24"/>
              </w:rPr>
            </w:pPr>
            <w:r w:rsidRPr="00461E25">
              <w:rPr>
                <w:szCs w:val="24"/>
              </w:rPr>
              <w:t>This is not to deny that there are still community differentials in specific sectors, locations and occupations’ that require closer examination (</w:t>
            </w:r>
            <w:r w:rsidRPr="00461E25">
              <w:rPr>
                <w:i/>
                <w:szCs w:val="24"/>
              </w:rPr>
              <w:t>ECNI Statement on Key Inequalities in Northern Ireland</w:t>
            </w:r>
            <w:r w:rsidRPr="00461E25">
              <w:rPr>
                <w:szCs w:val="24"/>
              </w:rPr>
              <w:t xml:space="preserve">, </w:t>
            </w:r>
            <w:r w:rsidRPr="00461E25">
              <w:rPr>
                <w:i/>
                <w:szCs w:val="24"/>
              </w:rPr>
              <w:t>October 2007)</w:t>
            </w:r>
            <w:r w:rsidRPr="00461E25">
              <w:rPr>
                <w:szCs w:val="24"/>
              </w:rPr>
              <w:t xml:space="preserve"> and broader indices of deprivation do vary considerably across Northern Ireland. </w:t>
            </w:r>
          </w:p>
          <w:p w14:paraId="3650A98F" w14:textId="38B611A3" w:rsidR="00461E25" w:rsidRPr="00461E25" w:rsidRDefault="00461E25" w:rsidP="00461E25">
            <w:pPr>
              <w:spacing w:after="120"/>
              <w:ind w:left="68" w:right="187"/>
              <w:rPr>
                <w:szCs w:val="24"/>
              </w:rPr>
            </w:pPr>
            <w:r w:rsidRPr="00461E25">
              <w:rPr>
                <w:szCs w:val="24"/>
              </w:rPr>
              <w:t>According to the Northern Ireland Multiple Deprivation Measures 2017 Report</w:t>
            </w:r>
            <w:r w:rsidRPr="00461E25">
              <w:rPr>
                <w:szCs w:val="24"/>
                <w:vertAlign w:val="superscript"/>
              </w:rPr>
              <w:footnoteReference w:id="2"/>
            </w:r>
            <w:r w:rsidRPr="00461E25">
              <w:rPr>
                <w:szCs w:val="24"/>
              </w:rPr>
              <w:t xml:space="preserve">, the ten most deprived Super Output Areas (SOAs) by multiple deprivation measure are located in Belfast and Derry City and Strabane Local Government Districts (LGDs), with some notable pockets of deprivation in Newry, Mourne &amp; Down and Armagh City, Banbridge &amp; Craigavon LGDs.  A small cluster is also evident in Coleraine in </w:t>
            </w:r>
            <w:r w:rsidRPr="00461E25">
              <w:rPr>
                <w:szCs w:val="24"/>
              </w:rPr>
              <w:lastRenderedPageBreak/>
              <w:t>Causeway Coast &amp; Glens.  The most employment deprived area in NI is within the New Lodge 2 SOA in the North of Belfast LGD.</w:t>
            </w:r>
          </w:p>
          <w:p w14:paraId="55795C1B" w14:textId="48F4F956" w:rsidR="00461E25" w:rsidRPr="00461E25" w:rsidRDefault="00461E25" w:rsidP="00A64856">
            <w:pPr>
              <w:spacing w:after="120"/>
              <w:ind w:left="68" w:right="187"/>
              <w:rPr>
                <w:szCs w:val="24"/>
              </w:rPr>
            </w:pPr>
            <w:r w:rsidRPr="00461E25">
              <w:rPr>
                <w:szCs w:val="24"/>
              </w:rPr>
              <w:t>In terms of Claimant Count in June 2024, the highest claimant count rates were in Derry City &amp; Strabane (5.0%) and Belfast (4.1%), in comparison with around 3.2% for Northern Ireland as a whole. This claimant count rate is lower than the UK average rate (4.4%).</w:t>
            </w:r>
          </w:p>
          <w:p w14:paraId="7340C1C8" w14:textId="7607291C" w:rsidR="00461E25" w:rsidRDefault="00461E25" w:rsidP="008445F8">
            <w:pPr>
              <w:spacing w:after="120"/>
              <w:ind w:left="68" w:right="187"/>
              <w:rPr>
                <w:szCs w:val="24"/>
              </w:rPr>
            </w:pPr>
            <w:r w:rsidRPr="00461E25">
              <w:rPr>
                <w:szCs w:val="24"/>
              </w:rPr>
              <w:t xml:space="preserve">In the past, some commentators have raised concerns that inward investment may exaggerate existing inequalities across Northern Ireland.  These claims would be contested by Invest NI which has produced two EQIAs on their programmes and schemes operating under the Accelerating Entrepreneurship Strategy (AES) and Business Development Solutions (BDS).  These EQIA would indicate that the distribution of resources across </w:t>
            </w:r>
            <w:smartTag w:uri="urn:schemas-microsoft-com:office:smarttags" w:element="country-region">
              <w:smartTag w:uri="urn:schemas-microsoft-com:office:smarttags" w:element="place">
                <w:r w:rsidRPr="00461E25">
                  <w:rPr>
                    <w:szCs w:val="24"/>
                  </w:rPr>
                  <w:t>Northern Ireland</w:t>
                </w:r>
              </w:smartTag>
            </w:smartTag>
            <w:r w:rsidRPr="00461E25">
              <w:rPr>
                <w:szCs w:val="24"/>
              </w:rPr>
              <w:t xml:space="preserve"> is fair and is proportionate.  To quote from the BDS EQIA (July 2007, p.25),</w:t>
            </w:r>
            <w:r w:rsidR="008445F8">
              <w:rPr>
                <w:szCs w:val="24"/>
              </w:rPr>
              <w:t xml:space="preserve"> </w:t>
            </w:r>
            <w:r w:rsidRPr="00461E25">
              <w:rPr>
                <w:szCs w:val="24"/>
              </w:rPr>
              <w:t>‘While there have been considerable shifts in support by region over time, no single demographic index such as population size or community background can explain these findings.  In the absence of contrary indicators it can be assumed that the levels of support that are applied (through offers) and gained (through assistance) must reflect a complex interplay between numerous social, economic and demographic factors, but that Section 75 considerations, including community background, do not appear to play a significant role.’</w:t>
            </w:r>
          </w:p>
          <w:p w14:paraId="560350AE" w14:textId="77777777" w:rsidR="008445F8" w:rsidRPr="00461E25" w:rsidRDefault="008445F8" w:rsidP="00461E25">
            <w:pPr>
              <w:spacing w:after="120"/>
              <w:ind w:left="68" w:right="187"/>
              <w:rPr>
                <w:szCs w:val="24"/>
              </w:rPr>
            </w:pPr>
          </w:p>
          <w:p w14:paraId="635DC2EC" w14:textId="3EA03970" w:rsidR="005B12FC" w:rsidRDefault="00892E47" w:rsidP="00461E25">
            <w:pPr>
              <w:spacing w:after="120"/>
              <w:ind w:right="187"/>
              <w:rPr>
                <w:szCs w:val="24"/>
                <w:u w:val="single"/>
              </w:rPr>
            </w:pPr>
            <w:r>
              <w:rPr>
                <w:szCs w:val="24"/>
                <w:u w:val="single"/>
              </w:rPr>
              <w:t>Gender</w:t>
            </w:r>
          </w:p>
          <w:p w14:paraId="578A84BA" w14:textId="3CE031E9" w:rsidR="0000054D" w:rsidRPr="0000054D" w:rsidRDefault="0000054D" w:rsidP="0000054D">
            <w:pPr>
              <w:spacing w:after="120"/>
              <w:ind w:left="68" w:right="187"/>
              <w:rPr>
                <w:szCs w:val="24"/>
              </w:rPr>
            </w:pPr>
            <w:r w:rsidRPr="0000054D">
              <w:rPr>
                <w:szCs w:val="24"/>
              </w:rPr>
              <w:t>The labour market continues to be segregated by gender in Northern Ireland.  For example, according to the Equality Commission’s 32</w:t>
            </w:r>
            <w:r w:rsidRPr="0000054D">
              <w:rPr>
                <w:szCs w:val="24"/>
                <w:vertAlign w:val="superscript"/>
              </w:rPr>
              <w:t>nd</w:t>
            </w:r>
            <w:r w:rsidRPr="0000054D">
              <w:rPr>
                <w:szCs w:val="24"/>
              </w:rPr>
              <w:t xml:space="preserve"> Fair Employment Monitoring Report</w:t>
            </w:r>
            <w:r w:rsidRPr="0000054D">
              <w:rPr>
                <w:szCs w:val="24"/>
                <w:vertAlign w:val="superscript"/>
              </w:rPr>
              <w:footnoteReference w:id="3"/>
            </w:r>
            <w:r w:rsidRPr="0000054D">
              <w:rPr>
                <w:szCs w:val="24"/>
              </w:rPr>
              <w:t>, women make up 52.4% of the monitored NI workforce.  However, 69% of all part-time employees are women. This suggests there remains significant provision to improve the level of female full time employment in NI.  Indeed, the Equality Commission’s Statement on Key Inequalities in Employment in Northern Ireland (May 2018)</w:t>
            </w:r>
            <w:r w:rsidRPr="0000054D">
              <w:rPr>
                <w:szCs w:val="24"/>
                <w:vertAlign w:val="superscript"/>
              </w:rPr>
              <w:footnoteReference w:id="4"/>
            </w:r>
            <w:r w:rsidRPr="0000054D">
              <w:rPr>
                <w:szCs w:val="24"/>
              </w:rPr>
              <w:t xml:space="preserve"> lists ‘Women, lone parents with dependents, and carers who provide less than 49 hours of care, are more likely to be in part-time employment’ as a key inequality.</w:t>
            </w:r>
          </w:p>
          <w:p w14:paraId="2B5AFEBA" w14:textId="3FFE31CD" w:rsidR="0000054D" w:rsidRPr="0000054D" w:rsidRDefault="0000054D" w:rsidP="0000054D">
            <w:pPr>
              <w:spacing w:after="120"/>
              <w:ind w:left="68" w:right="187"/>
              <w:rPr>
                <w:szCs w:val="24"/>
              </w:rPr>
            </w:pPr>
            <w:r w:rsidRPr="0000054D">
              <w:rPr>
                <w:szCs w:val="24"/>
              </w:rPr>
              <w:t xml:space="preserve">Vertically, there are notable differences in the distribution of male and female employees across broad sectors of the economy.  According to May 2018 Statement mentioned above,  ‘Women experience industrial segregation in employment’.   Indeed, the statement goes on to say that ‘Women are under-represented in industries associated with Science, Technology, Engineering and Mathematics (STEM) such as Manufacturing, Transport and Communication, Energy and Water and Construction.  Stereotyping and bias within our culture and particularly </w:t>
            </w:r>
            <w:r w:rsidRPr="0000054D">
              <w:rPr>
                <w:szCs w:val="24"/>
              </w:rPr>
              <w:lastRenderedPageBreak/>
              <w:t>within male dominated engineering and technology sectors, has been cited as one factor presenting barriers for women within these industries’.</w:t>
            </w:r>
          </w:p>
          <w:p w14:paraId="688E6AF3" w14:textId="0499706F" w:rsidR="005B12FC" w:rsidRDefault="0000054D" w:rsidP="0000054D">
            <w:pPr>
              <w:spacing w:after="120"/>
              <w:ind w:left="68" w:right="187"/>
              <w:rPr>
                <w:szCs w:val="24"/>
              </w:rPr>
            </w:pPr>
            <w:r w:rsidRPr="0000054D">
              <w:rPr>
                <w:szCs w:val="24"/>
              </w:rPr>
              <w:t xml:space="preserve">Horizontally, the labour market also continues to be stratified by gender. </w:t>
            </w:r>
          </w:p>
          <w:p w14:paraId="1FC8E091" w14:textId="77777777" w:rsidR="0000054D" w:rsidRPr="0000054D" w:rsidRDefault="0000054D" w:rsidP="0000054D">
            <w:pPr>
              <w:spacing w:after="120"/>
              <w:ind w:left="68" w:right="187"/>
              <w:rPr>
                <w:szCs w:val="24"/>
              </w:rPr>
            </w:pPr>
          </w:p>
          <w:p w14:paraId="7E9251FD" w14:textId="77777777" w:rsidR="00695F2A" w:rsidRDefault="00695F2A" w:rsidP="009B30C9">
            <w:pPr>
              <w:spacing w:after="120"/>
              <w:ind w:left="68" w:right="187"/>
              <w:rPr>
                <w:szCs w:val="24"/>
                <w:u w:val="single"/>
              </w:rPr>
            </w:pPr>
            <w:r>
              <w:rPr>
                <w:szCs w:val="24"/>
                <w:u w:val="single"/>
              </w:rPr>
              <w:t>Disability</w:t>
            </w:r>
          </w:p>
          <w:p w14:paraId="00662CCA" w14:textId="0C3F970C" w:rsidR="00090518" w:rsidRDefault="009B30C9" w:rsidP="009B30C9">
            <w:pPr>
              <w:spacing w:after="120"/>
              <w:ind w:left="68" w:right="187"/>
              <w:rPr>
                <w:szCs w:val="24"/>
              </w:rPr>
            </w:pPr>
            <w:r w:rsidRPr="009B30C9">
              <w:rPr>
                <w:szCs w:val="24"/>
              </w:rPr>
              <w:t>Those with a disability are less than half as likely to be in employment as those without a disability, with the problem particularly evident for disabled persons with lower qualification levels. In general, those with a disability are much less likely to hold any qualifications compared with those without a disability (around 27.6% of those with a disability hold no qualifications compared with 10.8% of those without a disability). Conversely, only 15.5% of those with a disability hold a degree or higher level qualification, compared with 32.8% for those without a disability</w:t>
            </w:r>
            <w:r w:rsidR="00090518">
              <w:rPr>
                <w:szCs w:val="24"/>
              </w:rPr>
              <w:t>.</w:t>
            </w:r>
          </w:p>
          <w:p w14:paraId="19ECE3B5" w14:textId="6AD0EB91" w:rsidR="009B30C9" w:rsidRPr="009B30C9" w:rsidRDefault="009B30C9" w:rsidP="009B30C9">
            <w:pPr>
              <w:spacing w:after="120"/>
              <w:ind w:left="68" w:right="187"/>
              <w:rPr>
                <w:szCs w:val="24"/>
              </w:rPr>
            </w:pPr>
            <w:r w:rsidRPr="009B30C9">
              <w:rPr>
                <w:szCs w:val="24"/>
              </w:rPr>
              <w:t xml:space="preserve">The lowest employment rate for those with a disability is found amongst 50 to 64 year olds; this cohort also has the highest incidence of disability of any age group amongst working aged adults. There are consistently lower levels of employment amongst those with a disability in Northern Ireland when compared to the whole of the UK, with a 35.5% employment rate recorded amongst those with a disability in Northern Ireland compared to 53.1% for the UK as a whole. </w:t>
            </w:r>
          </w:p>
          <w:p w14:paraId="008D4E05" w14:textId="77777777" w:rsidR="005B12FC" w:rsidRDefault="005B12FC" w:rsidP="009B30C9">
            <w:pPr>
              <w:spacing w:after="120"/>
              <w:ind w:left="68" w:right="187"/>
              <w:rPr>
                <w:szCs w:val="24"/>
                <w:u w:val="single"/>
              </w:rPr>
            </w:pPr>
          </w:p>
          <w:p w14:paraId="7230471B" w14:textId="5FDB7D11" w:rsidR="00695F2A" w:rsidRDefault="00695F2A" w:rsidP="00695F2A">
            <w:pPr>
              <w:spacing w:after="120"/>
              <w:ind w:left="68" w:right="187"/>
              <w:rPr>
                <w:szCs w:val="24"/>
                <w:u w:val="single"/>
              </w:rPr>
            </w:pPr>
            <w:r>
              <w:rPr>
                <w:szCs w:val="24"/>
                <w:u w:val="single"/>
              </w:rPr>
              <w:t>Race / Ethnic</w:t>
            </w:r>
            <w:r w:rsidR="00A64856">
              <w:rPr>
                <w:szCs w:val="24"/>
                <w:u w:val="single"/>
              </w:rPr>
              <w:t xml:space="preserve"> origin</w:t>
            </w:r>
          </w:p>
          <w:p w14:paraId="4E282D43" w14:textId="06B3DB2B" w:rsidR="00695F2A" w:rsidRPr="00695F2A" w:rsidRDefault="00695F2A" w:rsidP="00695F2A">
            <w:pPr>
              <w:spacing w:after="120"/>
              <w:ind w:left="68" w:right="187"/>
              <w:rPr>
                <w:szCs w:val="24"/>
              </w:rPr>
            </w:pPr>
            <w:r w:rsidRPr="00695F2A">
              <w:rPr>
                <w:szCs w:val="24"/>
              </w:rPr>
              <w:t xml:space="preserve">The ethnic breakdown of Northern Ireland has changed dramatically over recent years, including a large rise in the numbers of migrant workers from other countries.  In Northern Ireland, censuses show the proportion born outside the UK rose from 4.1 per cent in 2001 to 6.5 per cent in 2011, and 8.6 per cent in 2021.  </w:t>
            </w:r>
          </w:p>
          <w:p w14:paraId="765D3C47" w14:textId="77777777" w:rsidR="00695F2A" w:rsidRPr="00695F2A" w:rsidRDefault="00695F2A" w:rsidP="00695F2A">
            <w:pPr>
              <w:spacing w:after="120"/>
              <w:ind w:left="68" w:right="187"/>
              <w:rPr>
                <w:szCs w:val="24"/>
              </w:rPr>
            </w:pPr>
            <w:r w:rsidRPr="00695F2A">
              <w:rPr>
                <w:szCs w:val="24"/>
              </w:rPr>
              <w:t>Generally speaking, migrants in Northern Ireland are more likely to be in employment compared to their UK-born counterparts (with 80 per cent of migrants in employment compared to 74 per cent of non-migrants)</w:t>
            </w:r>
            <w:r w:rsidRPr="00695F2A">
              <w:rPr>
                <w:szCs w:val="24"/>
                <w:vertAlign w:val="superscript"/>
              </w:rPr>
              <w:footnoteReference w:id="5"/>
            </w:r>
            <w:r w:rsidRPr="00695F2A">
              <w:rPr>
                <w:szCs w:val="24"/>
              </w:rPr>
              <w:t>.  In 2016, the non UK born element of the Working age population was estimated at 101,000 out of a total of 815,000 (or 12%, including people born in the Republic of Ireland)</w:t>
            </w:r>
            <w:r w:rsidRPr="00695F2A">
              <w:rPr>
                <w:szCs w:val="24"/>
                <w:vertAlign w:val="superscript"/>
              </w:rPr>
              <w:footnoteReference w:id="6"/>
            </w:r>
            <w:r w:rsidRPr="00695F2A">
              <w:rPr>
                <w:szCs w:val="24"/>
              </w:rPr>
              <w:t>.  However, in the Equality Commission’s Statement on key Inequalities in Employment in Northern Ireland, the Commission identified the following specific migrant related inequalities:</w:t>
            </w:r>
          </w:p>
          <w:p w14:paraId="71DE60EF" w14:textId="77777777" w:rsidR="00695F2A" w:rsidRPr="00695F2A" w:rsidRDefault="00695F2A" w:rsidP="00695F2A">
            <w:pPr>
              <w:numPr>
                <w:ilvl w:val="0"/>
                <w:numId w:val="17"/>
              </w:numPr>
              <w:spacing w:after="120"/>
              <w:ind w:right="187"/>
              <w:rPr>
                <w:szCs w:val="24"/>
              </w:rPr>
            </w:pPr>
            <w:r w:rsidRPr="00695F2A">
              <w:rPr>
                <w:szCs w:val="24"/>
              </w:rPr>
              <w:t>Migrant workers, particularly those from Eastern European countries, are subject to industrial and occupational segregation.</w:t>
            </w:r>
          </w:p>
          <w:p w14:paraId="7B399573" w14:textId="77777777" w:rsidR="00695F2A" w:rsidRPr="00695F2A" w:rsidRDefault="00695F2A" w:rsidP="00695F2A">
            <w:pPr>
              <w:numPr>
                <w:ilvl w:val="0"/>
                <w:numId w:val="17"/>
              </w:numPr>
              <w:spacing w:after="120"/>
              <w:ind w:right="187"/>
              <w:rPr>
                <w:szCs w:val="24"/>
              </w:rPr>
            </w:pPr>
            <w:r w:rsidRPr="00695F2A">
              <w:rPr>
                <w:szCs w:val="24"/>
              </w:rPr>
              <w:t>Migrant workers and refugees face multiple barriers to employment in Northern Ireland.</w:t>
            </w:r>
          </w:p>
          <w:p w14:paraId="6B275AE1" w14:textId="77777777" w:rsidR="00695F2A" w:rsidRPr="00695F2A" w:rsidRDefault="00695F2A" w:rsidP="00695F2A">
            <w:pPr>
              <w:numPr>
                <w:ilvl w:val="0"/>
                <w:numId w:val="17"/>
              </w:numPr>
              <w:spacing w:after="120"/>
              <w:ind w:right="187"/>
              <w:rPr>
                <w:szCs w:val="24"/>
              </w:rPr>
            </w:pPr>
            <w:r w:rsidRPr="00695F2A">
              <w:rPr>
                <w:szCs w:val="24"/>
              </w:rPr>
              <w:t>Migrant workers are vulnerable to exploitation.</w:t>
            </w:r>
          </w:p>
          <w:p w14:paraId="5FD65E8D" w14:textId="77777777" w:rsidR="00695F2A" w:rsidRPr="00695F2A" w:rsidRDefault="00695F2A" w:rsidP="00695F2A">
            <w:pPr>
              <w:spacing w:after="120"/>
              <w:ind w:left="68" w:right="187"/>
              <w:rPr>
                <w:szCs w:val="24"/>
              </w:rPr>
            </w:pPr>
          </w:p>
          <w:p w14:paraId="3DF627F5" w14:textId="77777777" w:rsidR="00695F2A" w:rsidRPr="00695F2A" w:rsidRDefault="00695F2A" w:rsidP="00695F2A">
            <w:pPr>
              <w:spacing w:after="120"/>
              <w:ind w:left="68" w:right="187"/>
              <w:rPr>
                <w:szCs w:val="24"/>
              </w:rPr>
            </w:pPr>
            <w:r w:rsidRPr="00695F2A">
              <w:rPr>
                <w:szCs w:val="24"/>
              </w:rPr>
              <w:t>Housing and welfare provision among migrant workers is widely recognised as poor, with multi-occupancy dwellings often hosting migrant workers associated with poor living conditions.</w:t>
            </w:r>
          </w:p>
          <w:p w14:paraId="3B9EB3C1" w14:textId="77777777" w:rsidR="00695F2A" w:rsidRDefault="00695F2A" w:rsidP="009B30C9">
            <w:pPr>
              <w:spacing w:after="120"/>
              <w:ind w:left="68" w:right="187"/>
              <w:rPr>
                <w:szCs w:val="24"/>
                <w:u w:val="single"/>
              </w:rPr>
            </w:pPr>
          </w:p>
          <w:p w14:paraId="3096DC01" w14:textId="5FDF4B0C" w:rsidR="00525220" w:rsidRPr="00525220" w:rsidRDefault="00525220" w:rsidP="00525220">
            <w:pPr>
              <w:spacing w:after="120"/>
              <w:ind w:left="68" w:right="187"/>
              <w:rPr>
                <w:szCs w:val="24"/>
              </w:rPr>
            </w:pPr>
            <w:r w:rsidRPr="00525220">
              <w:rPr>
                <w:szCs w:val="24"/>
              </w:rPr>
              <w:t>NISRA 2021 population estimates suggest c700,000 of NI’s population are 50 years or older (or 37%).  It is predicted that this figure will rise by a further c208,000 by 2070</w:t>
            </w:r>
            <w:r w:rsidRPr="00525220">
              <w:rPr>
                <w:szCs w:val="24"/>
                <w:vertAlign w:val="superscript"/>
              </w:rPr>
              <w:footnoteReference w:id="7"/>
            </w:r>
            <w:r w:rsidRPr="00525220">
              <w:rPr>
                <w:szCs w:val="24"/>
              </w:rPr>
              <w:t>. According to the Equality Commission’s Statement on key Inequalities in Employment in Northern Ireland, ‘Those aged 50-64 years old are less likely to be in employment and more likely to be economically inactive than those aged 25-49 years old’.</w:t>
            </w:r>
          </w:p>
          <w:p w14:paraId="2682F007" w14:textId="77777777" w:rsidR="00525220" w:rsidRPr="00525220" w:rsidRDefault="00525220" w:rsidP="00525220">
            <w:pPr>
              <w:spacing w:after="120"/>
              <w:ind w:left="68" w:right="187"/>
              <w:rPr>
                <w:szCs w:val="24"/>
              </w:rPr>
            </w:pPr>
            <w:r w:rsidRPr="00525220">
              <w:rPr>
                <w:szCs w:val="24"/>
              </w:rPr>
              <w:t>The NI Labour Force Survey</w:t>
            </w:r>
            <w:r w:rsidRPr="00525220">
              <w:rPr>
                <w:szCs w:val="24"/>
                <w:vertAlign w:val="superscript"/>
              </w:rPr>
              <w:footnoteReference w:id="8"/>
            </w:r>
            <w:r w:rsidRPr="00525220">
              <w:rPr>
                <w:szCs w:val="24"/>
              </w:rPr>
              <w:t xml:space="preserve"> estimated there were 14,000 young people aged 16 to 24 years in Northern Ireland who were not in education, employment or training (NEET) in January to March 2024.  This was equivalent to 7.1% of all those aged 16 to 24 years in NI, the lowest-ever rate in the time series.  Whilst very encouraging, we need to remain vigilante to any potential unintended age related impacts through policy decisions and delivery.</w:t>
            </w:r>
          </w:p>
          <w:p w14:paraId="7FF3B2C2" w14:textId="05BBD092" w:rsidR="009B30C9" w:rsidRPr="009B30C9" w:rsidRDefault="009B30C9" w:rsidP="009B30C9">
            <w:pPr>
              <w:spacing w:after="120"/>
              <w:ind w:left="68" w:right="187"/>
              <w:rPr>
                <w:szCs w:val="24"/>
              </w:rPr>
            </w:pPr>
            <w:r w:rsidRPr="009B30C9">
              <w:rPr>
                <w:szCs w:val="24"/>
              </w:rPr>
              <w:t>Economic inactivity levels are also much higher amongst older working-age groups (50-64 year olds) in Northern Ireland compared with the UK as a whole, at 33.7% and 27.2% respectively. Just over half of economic inactivity in this age group in Northern Ireland is caused by long-term sickness.</w:t>
            </w:r>
          </w:p>
          <w:p w14:paraId="05D07EBA" w14:textId="77777777" w:rsidR="005B12FC" w:rsidRDefault="005B12FC" w:rsidP="009B30C9">
            <w:pPr>
              <w:spacing w:after="120"/>
              <w:ind w:left="68" w:right="187"/>
              <w:rPr>
                <w:szCs w:val="24"/>
                <w:u w:val="single"/>
              </w:rPr>
            </w:pPr>
          </w:p>
          <w:p w14:paraId="1EF9A890" w14:textId="5D9C02A1" w:rsidR="00D72282" w:rsidRDefault="00D72282" w:rsidP="00D72282">
            <w:pPr>
              <w:spacing w:after="120"/>
              <w:ind w:left="68" w:right="187"/>
              <w:rPr>
                <w:szCs w:val="24"/>
                <w:u w:val="single"/>
              </w:rPr>
            </w:pPr>
            <w:proofErr w:type="spellStart"/>
            <w:r>
              <w:rPr>
                <w:szCs w:val="24"/>
                <w:u w:val="single"/>
              </w:rPr>
              <w:t>Dependancy</w:t>
            </w:r>
            <w:proofErr w:type="spellEnd"/>
          </w:p>
          <w:p w14:paraId="79BAB2DF" w14:textId="5D519CCF" w:rsidR="00525220" w:rsidRPr="00525220" w:rsidRDefault="00525220" w:rsidP="00D72282">
            <w:pPr>
              <w:spacing w:after="120"/>
              <w:ind w:left="68" w:right="187"/>
              <w:rPr>
                <w:szCs w:val="24"/>
              </w:rPr>
            </w:pPr>
            <w:r w:rsidRPr="00525220">
              <w:rPr>
                <w:szCs w:val="24"/>
              </w:rPr>
              <w:t>Affordable, quality childcare remains problematic in Northern Ireland, with formal provision still very low in comparison with the rest of the UK.  For example, NI has 3% of the UK’s children but only 1% of the UK’s Day Nurseries</w:t>
            </w:r>
            <w:r w:rsidRPr="00525220">
              <w:rPr>
                <w:szCs w:val="24"/>
                <w:vertAlign w:val="superscript"/>
              </w:rPr>
              <w:footnoteReference w:id="9"/>
            </w:r>
            <w:r w:rsidRPr="00525220">
              <w:rPr>
                <w:szCs w:val="24"/>
              </w:rPr>
              <w:t xml:space="preserve">. </w:t>
            </w:r>
          </w:p>
          <w:p w14:paraId="0A6D0B41" w14:textId="77777777" w:rsidR="00525220" w:rsidRPr="00525220" w:rsidRDefault="00525220" w:rsidP="00525220">
            <w:pPr>
              <w:spacing w:after="120"/>
              <w:ind w:left="68" w:right="187"/>
              <w:rPr>
                <w:szCs w:val="24"/>
              </w:rPr>
            </w:pPr>
            <w:r w:rsidRPr="00525220">
              <w:rPr>
                <w:szCs w:val="24"/>
              </w:rPr>
              <w:t xml:space="preserve">Furthermore, as the population continues to age there is a growing need to recognise caring responsibilities for elderly relatives among employees. </w:t>
            </w:r>
          </w:p>
          <w:p w14:paraId="670A2EE3" w14:textId="229A08B6" w:rsidR="009B30C9" w:rsidRPr="009B30C9" w:rsidRDefault="009B30C9" w:rsidP="009B30C9">
            <w:pPr>
              <w:spacing w:after="120"/>
              <w:ind w:left="68" w:right="187"/>
              <w:rPr>
                <w:szCs w:val="24"/>
              </w:rPr>
            </w:pPr>
            <w:r w:rsidRPr="009B30C9">
              <w:rPr>
                <w:szCs w:val="24"/>
              </w:rPr>
              <w:t>When considering the main reason for economic inactivity, caring for depend</w:t>
            </w:r>
            <w:r w:rsidR="005B1E54">
              <w:rPr>
                <w:szCs w:val="24"/>
              </w:rPr>
              <w:t>a</w:t>
            </w:r>
            <w:r w:rsidRPr="009B30C9">
              <w:rPr>
                <w:szCs w:val="24"/>
              </w:rPr>
              <w:t xml:space="preserve">nts is the second most common reason behind </w:t>
            </w:r>
            <w:r w:rsidR="005B1E54">
              <w:rPr>
                <w:szCs w:val="24"/>
              </w:rPr>
              <w:t xml:space="preserve">being </w:t>
            </w:r>
            <w:r w:rsidRPr="009B30C9">
              <w:rPr>
                <w:szCs w:val="24"/>
              </w:rPr>
              <w:t>sick</w:t>
            </w:r>
            <w:r w:rsidR="005B1E54">
              <w:rPr>
                <w:szCs w:val="24"/>
              </w:rPr>
              <w:t xml:space="preserve"> and/or </w:t>
            </w:r>
            <w:r w:rsidRPr="009B30C9">
              <w:rPr>
                <w:szCs w:val="24"/>
              </w:rPr>
              <w:t>disabled. This accounts for 20.8% of those that want to work and 17.4% of those that do not.</w:t>
            </w:r>
          </w:p>
          <w:p w14:paraId="3375447A" w14:textId="73F6AC26" w:rsidR="005B12FC" w:rsidRPr="00D72282" w:rsidRDefault="009B30C9" w:rsidP="00D72282">
            <w:pPr>
              <w:spacing w:after="120"/>
              <w:ind w:left="68" w:right="187"/>
              <w:rPr>
                <w:szCs w:val="24"/>
              </w:rPr>
            </w:pPr>
            <w:r w:rsidRPr="009B30C9">
              <w:rPr>
                <w:szCs w:val="24"/>
              </w:rPr>
              <w:t xml:space="preserve">Caring for a dependant accounts for 25.5% of economically inactive females, whereas the percentage of males is much lower at 6.8%. </w:t>
            </w:r>
          </w:p>
          <w:p w14:paraId="19F6854D" w14:textId="77777777" w:rsidR="004E3589" w:rsidRDefault="00D72282" w:rsidP="009B30C9">
            <w:pPr>
              <w:spacing w:after="120"/>
              <w:ind w:left="68" w:right="187"/>
              <w:rPr>
                <w:szCs w:val="24"/>
                <w:u w:val="single"/>
              </w:rPr>
            </w:pPr>
            <w:r>
              <w:rPr>
                <w:szCs w:val="24"/>
                <w:u w:val="single"/>
              </w:rPr>
              <w:t>Marital Status</w:t>
            </w:r>
          </w:p>
          <w:p w14:paraId="52F0031F" w14:textId="73E7AD76" w:rsidR="009B30C9" w:rsidRDefault="009B30C9" w:rsidP="009B30C9">
            <w:pPr>
              <w:spacing w:after="120"/>
              <w:ind w:left="68" w:right="187"/>
              <w:rPr>
                <w:szCs w:val="24"/>
              </w:rPr>
            </w:pPr>
            <w:r w:rsidRPr="009B30C9">
              <w:rPr>
                <w:szCs w:val="24"/>
              </w:rPr>
              <w:lastRenderedPageBreak/>
              <w:t>In 2019, those who were married had an employment rate of 80.2%, compared with 65.1% for those single; 59.4% for those divorced; 57.9% for those widowed; and 59.6% for those separated22. Out of those who were employed, married people were estimated to hold a higher level of qualification than all other categories. For example, in 2019 just over 49% of those who were married and in employment were estimated to hold a degree, compared with 42% of those who were divorced; 37% of single people and 32% for those who were married but separated23.</w:t>
            </w:r>
          </w:p>
          <w:p w14:paraId="2909979B" w14:textId="77777777" w:rsidR="004544B3" w:rsidRDefault="004544B3" w:rsidP="004544B3">
            <w:pPr>
              <w:rPr>
                <w:szCs w:val="24"/>
              </w:rPr>
            </w:pPr>
          </w:p>
          <w:p w14:paraId="6EBDECD2" w14:textId="5B91ACC2" w:rsidR="005B500C" w:rsidRDefault="005B500C" w:rsidP="004544B3">
            <w:pPr>
              <w:rPr>
                <w:szCs w:val="24"/>
                <w:u w:val="single"/>
              </w:rPr>
            </w:pPr>
            <w:r>
              <w:rPr>
                <w:szCs w:val="24"/>
                <w:u w:val="single"/>
              </w:rPr>
              <w:t>Sexual Orientation</w:t>
            </w:r>
          </w:p>
          <w:p w14:paraId="54079731" w14:textId="77777777" w:rsidR="005B500C" w:rsidRDefault="005B500C" w:rsidP="004544B3">
            <w:pPr>
              <w:rPr>
                <w:szCs w:val="24"/>
                <w:u w:val="single"/>
              </w:rPr>
            </w:pPr>
          </w:p>
          <w:p w14:paraId="02389663" w14:textId="77777777" w:rsidR="005B500C" w:rsidRPr="005B500C" w:rsidRDefault="005B500C" w:rsidP="005B500C">
            <w:pPr>
              <w:autoSpaceDE w:val="0"/>
              <w:autoSpaceDN w:val="0"/>
              <w:adjustRightInd w:val="0"/>
              <w:rPr>
                <w:rFonts w:cs="Arial"/>
                <w:szCs w:val="24"/>
                <w:lang w:eastAsia="en-GB"/>
              </w:rPr>
            </w:pPr>
            <w:r w:rsidRPr="005B500C">
              <w:rPr>
                <w:rFonts w:cs="Arial"/>
                <w:szCs w:val="24"/>
                <w:lang w:eastAsia="en-GB"/>
              </w:rPr>
              <w:t xml:space="preserve">Of various attitudinal and structural issues faced by those from the lesbian, gay and bisexual community in Northern Ireland, homophobic harassment at work features significantly.  This has been a long standing issue as revealed by a number of historic high profile tribunal cases along with research findings (Jarman, N. &amp; Tennant, A. (2003).  </w:t>
            </w:r>
            <w:r w:rsidRPr="005B500C">
              <w:rPr>
                <w:rFonts w:cs="Arial"/>
                <w:i/>
                <w:szCs w:val="24"/>
                <w:lang w:eastAsia="en-GB"/>
              </w:rPr>
              <w:t>An Unacceptable Prejudice: Homophobic Violence and Harassment in Northern Ireland</w:t>
            </w:r>
            <w:r w:rsidRPr="005B500C">
              <w:rPr>
                <w:rFonts w:cs="Arial"/>
                <w:szCs w:val="24"/>
                <w:lang w:eastAsia="en-GB"/>
              </w:rPr>
              <w:t xml:space="preserve"> (Belfast: Institute of Conflict research)</w:t>
            </w:r>
            <w:r w:rsidRPr="005B500C">
              <w:rPr>
                <w:rFonts w:cs="Arial"/>
                <w:bCs/>
                <w:lang w:eastAsia="en-GB"/>
              </w:rPr>
              <w:t xml:space="preserve">.  </w:t>
            </w:r>
          </w:p>
          <w:p w14:paraId="4FEE11C8" w14:textId="77777777" w:rsidR="005B500C" w:rsidRPr="005B500C" w:rsidRDefault="005B500C" w:rsidP="005B500C">
            <w:pPr>
              <w:autoSpaceDE w:val="0"/>
              <w:autoSpaceDN w:val="0"/>
              <w:adjustRightInd w:val="0"/>
              <w:rPr>
                <w:rFonts w:cs="Arial"/>
                <w:bCs/>
                <w:lang w:eastAsia="en-GB"/>
              </w:rPr>
            </w:pPr>
          </w:p>
          <w:p w14:paraId="7B2CF9E0" w14:textId="77777777" w:rsidR="005B500C" w:rsidRPr="005B500C" w:rsidRDefault="005B500C" w:rsidP="005B500C">
            <w:pPr>
              <w:rPr>
                <w:rFonts w:cs="Arial"/>
                <w:highlight w:val="yellow"/>
                <w:lang w:eastAsia="en-GB"/>
              </w:rPr>
            </w:pPr>
            <w:r w:rsidRPr="005B500C">
              <w:rPr>
                <w:rFonts w:cs="Arial"/>
                <w:bCs/>
                <w:lang w:eastAsia="en-GB"/>
              </w:rPr>
              <w:t>The Equality Commission’s Statement on key Inequalities in Employment in Northern Ireland identifies the following as a key inequality:</w:t>
            </w:r>
            <w:r w:rsidRPr="005B500C">
              <w:rPr>
                <w:rFonts w:ascii="Times New Roman" w:hAnsi="Times New Roman"/>
                <w:b/>
                <w:lang w:eastAsia="en-GB"/>
              </w:rPr>
              <w:t xml:space="preserve"> ‘</w:t>
            </w:r>
            <w:r w:rsidRPr="005B500C">
              <w:rPr>
                <w:rFonts w:cs="Arial"/>
                <w:bCs/>
                <w:lang w:eastAsia="en-GB"/>
              </w:rPr>
              <w:t xml:space="preserve">Prejudicial attitudes both within and outside the workplace are experienced by people with disabilities, women, Trans people, lesbian, gay and bisexual people, people from minority ethnic groups, migrant workers and those of different religious beliefs’.  The statement goes on to say </w:t>
            </w:r>
            <w:r w:rsidRPr="005B500C">
              <w:rPr>
                <w:rFonts w:cs="Arial"/>
                <w:lang w:eastAsia="en-GB"/>
              </w:rPr>
              <w:t>‘Ignorance of Trans issues from employers and work colleagues is a key issue in Trans people participating in and sustaining employment…Prejudicial attitudes may impact on the ability of lesbian, gay and bisexual people to participate in employment, sustain employment and progress in employment’.</w:t>
            </w:r>
          </w:p>
          <w:p w14:paraId="77D47BCD" w14:textId="77777777" w:rsidR="005B500C" w:rsidRPr="005B500C" w:rsidRDefault="005B500C" w:rsidP="004544B3">
            <w:pPr>
              <w:rPr>
                <w:szCs w:val="24"/>
                <w:u w:val="single"/>
              </w:rPr>
            </w:pPr>
          </w:p>
          <w:p w14:paraId="7009E794" w14:textId="44F50017" w:rsidR="004544B3" w:rsidRPr="00F02559" w:rsidRDefault="00090518" w:rsidP="004544B3">
            <w:pPr>
              <w:rPr>
                <w:b/>
                <w:bCs/>
                <w:szCs w:val="24"/>
              </w:rPr>
            </w:pPr>
            <w:r>
              <w:rPr>
                <w:b/>
                <w:bCs/>
                <w:szCs w:val="24"/>
              </w:rPr>
              <w:t>Invest NI Data: Individuals</w:t>
            </w:r>
          </w:p>
          <w:p w14:paraId="4E7BD503" w14:textId="2ED1326F" w:rsidR="004544B3" w:rsidRDefault="004544B3" w:rsidP="005B12FC">
            <w:pPr>
              <w:spacing w:after="120"/>
              <w:rPr>
                <w:szCs w:val="24"/>
              </w:rPr>
            </w:pPr>
            <w:r w:rsidRPr="006F31D4">
              <w:rPr>
                <w:szCs w:val="24"/>
              </w:rPr>
              <w:t xml:space="preserve">Through successive EQIAs and screenings, Invest NI has continued to monitor the profile of individuals who are in receipt of support, and thereby to identify and ameliorate any adverse impacts. </w:t>
            </w:r>
            <w:r>
              <w:rPr>
                <w:szCs w:val="24"/>
              </w:rPr>
              <w:t>In its most recent EQIA on the Invest NI Accelerating Entrepreneurship Strategy, the following issues were noted (p.10):</w:t>
            </w:r>
          </w:p>
          <w:p w14:paraId="619F9469" w14:textId="01893103" w:rsidR="000815E3" w:rsidRDefault="004544B3" w:rsidP="005B12FC">
            <w:pPr>
              <w:spacing w:after="120"/>
              <w:rPr>
                <w:szCs w:val="24"/>
              </w:rPr>
            </w:pPr>
            <w:r>
              <w:rPr>
                <w:szCs w:val="24"/>
              </w:rPr>
              <w:t>‘</w:t>
            </w:r>
            <w:r w:rsidRPr="00F02559">
              <w:rPr>
                <w:szCs w:val="24"/>
              </w:rPr>
              <w:t xml:space="preserve">Whilst there are clear signs of widening access, it is generally recognised that there is considerable room for improvement, and the business case for continuing to promote entrepreneurship among those groups that are currently under-represented (including women and older people) remains powerful. </w:t>
            </w:r>
            <w:r w:rsidR="000815E3">
              <w:rPr>
                <w:szCs w:val="24"/>
              </w:rPr>
              <w:t>‘</w:t>
            </w:r>
          </w:p>
          <w:p w14:paraId="19EDB46C" w14:textId="6A2E82D8" w:rsidR="000815E3" w:rsidRPr="00695F2A" w:rsidRDefault="004544B3" w:rsidP="005B12FC">
            <w:pPr>
              <w:spacing w:after="120"/>
              <w:rPr>
                <w:szCs w:val="24"/>
              </w:rPr>
            </w:pPr>
            <w:r w:rsidRPr="00F02559">
              <w:rPr>
                <w:szCs w:val="24"/>
              </w:rPr>
              <w:t>With this in mind the following spe</w:t>
            </w:r>
            <w:r w:rsidR="000815E3">
              <w:rPr>
                <w:szCs w:val="24"/>
              </w:rPr>
              <w:t>cific findings from the GEM 2019</w:t>
            </w:r>
            <w:r w:rsidRPr="00F02559">
              <w:rPr>
                <w:szCs w:val="24"/>
              </w:rPr>
              <w:t xml:space="preserve"> report are presented below: </w:t>
            </w:r>
            <w:r w:rsidR="000815E3" w:rsidRPr="000815E3">
              <w:t xml:space="preserve">(This is </w:t>
            </w:r>
            <w:r w:rsidR="004A03E5" w:rsidRPr="000815E3">
              <w:t>unique annual survey, which focuses on the measurement of new business formation at the level of the individual.</w:t>
            </w:r>
            <w:r w:rsidR="000815E3" w:rsidRPr="000815E3">
              <w:t>)</w:t>
            </w:r>
          </w:p>
          <w:p w14:paraId="657331DF" w14:textId="162F1343" w:rsidR="000815E3" w:rsidRPr="000815E3" w:rsidRDefault="004A03E5" w:rsidP="005B12FC">
            <w:pPr>
              <w:spacing w:after="120"/>
            </w:pPr>
            <w:r w:rsidRPr="000815E3">
              <w:t xml:space="preserve">The rate of total early-stage entrepreneurship (TEA) in Northern Ireland in 2019 is 6.6%, a slight increase from 2018. The 2019 rate compares to a </w:t>
            </w:r>
            <w:r w:rsidRPr="000815E3">
              <w:lastRenderedPageBreak/>
              <w:t>figure of 9.9% in the UK overall, 10.5% in England, 7.0% in Wales, and 7.2% in Scotland.</w:t>
            </w:r>
          </w:p>
          <w:p w14:paraId="0F4D22F0" w14:textId="77777777" w:rsidR="004A03E5" w:rsidRPr="000815E3" w:rsidRDefault="004A03E5" w:rsidP="005B12FC">
            <w:pPr>
              <w:spacing w:after="120"/>
            </w:pPr>
            <w:r w:rsidRPr="000815E3">
              <w:t>The 6.6% in NI equates to 1 in every 15 adults (74,500 individuals) engaging in early-stage entrepreneurial activity</w:t>
            </w:r>
          </w:p>
          <w:p w14:paraId="09E1D21D" w14:textId="5D8F04E5" w:rsidR="000815E3" w:rsidRPr="000815E3" w:rsidRDefault="004A03E5" w:rsidP="005B12FC">
            <w:pPr>
              <w:spacing w:after="120"/>
            </w:pPr>
            <w:r w:rsidRPr="000815E3">
              <w:t>Entrepreneurial activity in both the UK and Northern Ireland has been on an upward trend over the long term 2002-19 period.</w:t>
            </w:r>
          </w:p>
          <w:p w14:paraId="37465317" w14:textId="77777777" w:rsidR="004A03E5" w:rsidRPr="000815E3" w:rsidRDefault="004A03E5" w:rsidP="005B12FC">
            <w:pPr>
              <w:spacing w:after="120"/>
            </w:pPr>
            <w:r w:rsidRPr="000815E3">
              <w:t>Over the 2003-19 period, the highest level of entrepreneurial activity was in the Mid Ulster area with a TEA rate of 6.8% - the lowest was Derry City &amp; Strabane with a rate of just 4.2%.  Belfast’s rate of 4.5% lies below the NI average and is lower than Mid Ulster and Armagh, Banbridge and Craigavon.</w:t>
            </w:r>
          </w:p>
          <w:p w14:paraId="18112A7F" w14:textId="071AD938" w:rsidR="000815E3" w:rsidRPr="000815E3" w:rsidRDefault="004A03E5" w:rsidP="005B12FC">
            <w:pPr>
              <w:spacing w:after="120"/>
            </w:pPr>
            <w:r w:rsidRPr="000815E3">
              <w:t>The TEA rate in Northern Ireland in 2019 is significantly lower than the UK and England. This result is confirmed when the rates are combined over 2017-19.</w:t>
            </w:r>
          </w:p>
          <w:p w14:paraId="14BAECC2" w14:textId="1EF29230" w:rsidR="000815E3" w:rsidRPr="000815E3" w:rsidRDefault="004A03E5" w:rsidP="005B12FC">
            <w:pPr>
              <w:spacing w:after="120"/>
            </w:pPr>
            <w:r w:rsidRPr="000815E3">
              <w:t>The TEA over the most recent three years (2017-19) gives a TEA rate of 6.5% for Northern Ireland which is significantly lower than the rate of 9.2% for England and 8.7% for the UK (Wales and Scotland are both 6.7%).</w:t>
            </w:r>
          </w:p>
          <w:p w14:paraId="0AF99885" w14:textId="4E8D33AC" w:rsidR="000815E3" w:rsidRPr="000815E3" w:rsidRDefault="004A03E5" w:rsidP="005B12FC">
            <w:pPr>
              <w:spacing w:after="120"/>
            </w:pPr>
            <w:r w:rsidRPr="000815E3">
              <w:t>The female TEA rate in Northern Ireland in 2019 is 3.1% compared to a male rate of 10.1%. This gap between females and males is the highest amongst the UK nations. The difference in the UK is 12.1% male compared to 7.7% female.</w:t>
            </w:r>
          </w:p>
          <w:p w14:paraId="17BD6233" w14:textId="7D52924D" w:rsidR="000815E3" w:rsidRPr="000815E3" w:rsidRDefault="004A03E5" w:rsidP="005B12FC">
            <w:pPr>
              <w:spacing w:after="120"/>
            </w:pPr>
            <w:r w:rsidRPr="000815E3">
              <w:t>For the UK as a whole the TEA rates translate into a female to male early-stage entrepreneurship ratio of 63%, England and Scotland have similar ratios at 63% and 62% but NI has the lowest ratio at 31%</w:t>
            </w:r>
          </w:p>
          <w:p w14:paraId="0A16DBD5" w14:textId="45EDFF5D" w:rsidR="000815E3" w:rsidRPr="000815E3" w:rsidRDefault="004A03E5" w:rsidP="005B12FC">
            <w:pPr>
              <w:spacing w:after="120"/>
            </w:pPr>
            <w:r w:rsidRPr="000815E3">
              <w:t>TEA rates tend to vary by age with those aged over 30 generally more likely to be engaged in entrepreneurial activity. In 2019, those aged between 25-34 in Northern Ireland were the most entrepreneurial.</w:t>
            </w:r>
          </w:p>
          <w:p w14:paraId="4980C75A" w14:textId="552A5CE0" w:rsidR="000815E3" w:rsidRPr="000815E3" w:rsidRDefault="004A03E5" w:rsidP="005B12FC">
            <w:pPr>
              <w:spacing w:after="120"/>
            </w:pPr>
            <w:r w:rsidRPr="000815E3">
              <w:t xml:space="preserve">Within Northern Ireland, the highest TEA rates are typically found in the Mid-Ulster Council area, while Derry City and Strabane have the lowest. The rate in Mid-Ulster is driven by male entrepreneurial activity; in Derry City and Strabane there are relatively low female rates of entrepreneurship. </w:t>
            </w:r>
          </w:p>
          <w:p w14:paraId="1FCB4771" w14:textId="6F8C5A65" w:rsidR="000815E3" w:rsidRPr="000815E3" w:rsidRDefault="004A03E5" w:rsidP="005B12FC">
            <w:pPr>
              <w:spacing w:after="120"/>
            </w:pPr>
            <w:r w:rsidRPr="000815E3">
              <w:t>In 2017-19, Lisburn and Castlereagh is the only council area in which the female TEA rate is significantly lower than the male rate.</w:t>
            </w:r>
          </w:p>
          <w:p w14:paraId="548081E8" w14:textId="77777777" w:rsidR="004A03E5" w:rsidRDefault="004A03E5" w:rsidP="005B12FC">
            <w:pPr>
              <w:spacing w:after="120"/>
            </w:pPr>
            <w:r w:rsidRPr="000815E3">
              <w:t>The rate of total early stage entrepreneurial activity for graduates in the UK in 2019 is 11.9% which is significantly higher than for non-graduates 8.2% the figures for NI is 6.7% for graduates and 6.4% for non-graduates so the rate is not significantly higher.</w:t>
            </w:r>
          </w:p>
          <w:p w14:paraId="0510B922" w14:textId="77777777" w:rsidR="004544B3" w:rsidRPr="00F02559" w:rsidRDefault="004544B3" w:rsidP="004544B3">
            <w:pPr>
              <w:rPr>
                <w:szCs w:val="24"/>
              </w:rPr>
            </w:pPr>
          </w:p>
          <w:p w14:paraId="6D9B0E63" w14:textId="0C490B3D" w:rsidR="004544B3" w:rsidRDefault="00090518" w:rsidP="004544B3">
            <w:pPr>
              <w:rPr>
                <w:b/>
                <w:bCs/>
                <w:szCs w:val="24"/>
              </w:rPr>
            </w:pPr>
            <w:r>
              <w:rPr>
                <w:b/>
                <w:bCs/>
                <w:szCs w:val="24"/>
              </w:rPr>
              <w:t xml:space="preserve">Invest NI Data: </w:t>
            </w:r>
            <w:r w:rsidR="00D27DFF">
              <w:rPr>
                <w:b/>
                <w:bCs/>
                <w:szCs w:val="24"/>
              </w:rPr>
              <w:t>Businesse</w:t>
            </w:r>
            <w:r w:rsidR="004544B3">
              <w:rPr>
                <w:b/>
                <w:bCs/>
                <w:szCs w:val="24"/>
              </w:rPr>
              <w:t>s</w:t>
            </w:r>
          </w:p>
          <w:p w14:paraId="7083DF47" w14:textId="77777777" w:rsidR="00D27DFF" w:rsidRDefault="004544B3" w:rsidP="0047631D">
            <w:pPr>
              <w:spacing w:after="120"/>
              <w:rPr>
                <w:szCs w:val="24"/>
              </w:rPr>
            </w:pPr>
            <w:r w:rsidRPr="006F31D4">
              <w:rPr>
                <w:szCs w:val="24"/>
              </w:rPr>
              <w:t xml:space="preserve">With regard to the profile of companies supported by Invest NI, </w:t>
            </w:r>
            <w:r w:rsidR="0077157A">
              <w:rPr>
                <w:szCs w:val="24"/>
              </w:rPr>
              <w:t xml:space="preserve">given resource constraints and the considerable time and effort involved on an ongoing basis, </w:t>
            </w:r>
            <w:r w:rsidRPr="006F31D4">
              <w:rPr>
                <w:szCs w:val="24"/>
              </w:rPr>
              <w:t xml:space="preserve">a strategic decision was made several years ago that the resources required to continue to monitor company profiles by all Section 75 </w:t>
            </w:r>
            <w:r w:rsidRPr="006F31D4">
              <w:rPr>
                <w:szCs w:val="24"/>
              </w:rPr>
              <w:lastRenderedPageBreak/>
              <w:t xml:space="preserve">grounds was disproportionate and </w:t>
            </w:r>
            <w:r w:rsidR="00235C01">
              <w:rPr>
                <w:szCs w:val="24"/>
              </w:rPr>
              <w:t>un</w:t>
            </w:r>
            <w:r w:rsidRPr="006F31D4">
              <w:rPr>
                <w:szCs w:val="24"/>
              </w:rPr>
              <w:t xml:space="preserve">sustainable. Hence, at this time Invest NI is not positioned to provide monitoring information of the profile of all companies which are in receipt of support. </w:t>
            </w:r>
          </w:p>
          <w:p w14:paraId="0E19959E" w14:textId="553BCE19" w:rsidR="000815E3" w:rsidRDefault="000815E3" w:rsidP="000815E3">
            <w:r>
              <w:t xml:space="preserve">However, </w:t>
            </w:r>
            <w:r w:rsidR="00090518">
              <w:t>between 2016 and 2021</w:t>
            </w:r>
            <w:r>
              <w:t>, Invest NI approved nearly 16,000 offers, totalling assistance of £615m, which will leverage a total investment of £3.2bn.  This support will lead to the creation of almost 24,500 new jobs.</w:t>
            </w:r>
          </w:p>
          <w:p w14:paraId="068D7464" w14:textId="77777777" w:rsidR="00EC66D1" w:rsidRDefault="00EC66D1" w:rsidP="000815E3"/>
          <w:p w14:paraId="7BB6D752" w14:textId="77777777" w:rsidR="00EC66D1" w:rsidRDefault="00EC66D1" w:rsidP="00EC66D1">
            <w:r>
              <w:t>Whilst 28% (£175m) of this assistance offered was directed towards the creation of employment, the majority of assistance over this period, £192m (31%) was invested in research and development.</w:t>
            </w:r>
          </w:p>
          <w:p w14:paraId="306F716E" w14:textId="77777777" w:rsidR="000815E3" w:rsidRPr="006F31D4" w:rsidRDefault="000815E3" w:rsidP="000815E3">
            <w:pPr>
              <w:spacing w:after="120"/>
              <w:rPr>
                <w:szCs w:val="24"/>
              </w:rPr>
            </w:pPr>
          </w:p>
          <w:tbl>
            <w:tblPr>
              <w:tblW w:w="8573" w:type="dxa"/>
              <w:tblLook w:val="04A0" w:firstRow="1" w:lastRow="0" w:firstColumn="1" w:lastColumn="0" w:noHBand="0" w:noVBand="1"/>
            </w:tblPr>
            <w:tblGrid>
              <w:gridCol w:w="936"/>
              <w:gridCol w:w="222"/>
              <w:gridCol w:w="530"/>
              <w:gridCol w:w="284"/>
              <w:gridCol w:w="832"/>
              <w:gridCol w:w="326"/>
              <w:gridCol w:w="1211"/>
              <w:gridCol w:w="523"/>
              <w:gridCol w:w="306"/>
              <w:gridCol w:w="1131"/>
              <w:gridCol w:w="497"/>
              <w:gridCol w:w="713"/>
              <w:gridCol w:w="648"/>
            </w:tblGrid>
            <w:tr w:rsidR="00030CE4" w:rsidRPr="004876D1" w14:paraId="4ED98B7D" w14:textId="77777777" w:rsidTr="00030CE4">
              <w:trPr>
                <w:trHeight w:val="290"/>
              </w:trPr>
              <w:tc>
                <w:tcPr>
                  <w:tcW w:w="4587" w:type="dxa"/>
                  <w:gridSpan w:val="7"/>
                  <w:tcBorders>
                    <w:top w:val="nil"/>
                    <w:left w:val="nil"/>
                    <w:bottom w:val="nil"/>
                    <w:right w:val="nil"/>
                  </w:tcBorders>
                  <w:shd w:val="clear" w:color="auto" w:fill="auto"/>
                  <w:noWrap/>
                  <w:vAlign w:val="bottom"/>
                  <w:hideMark/>
                </w:tcPr>
                <w:p w14:paraId="3E5F608D"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Invest NI Activity by Type of Support (2016-17 to 2020-21)</w:t>
                  </w:r>
                </w:p>
              </w:tc>
              <w:tc>
                <w:tcPr>
                  <w:tcW w:w="856" w:type="dxa"/>
                  <w:gridSpan w:val="2"/>
                  <w:tcBorders>
                    <w:top w:val="nil"/>
                    <w:left w:val="nil"/>
                    <w:bottom w:val="nil"/>
                    <w:right w:val="nil"/>
                  </w:tcBorders>
                  <w:shd w:val="clear" w:color="auto" w:fill="auto"/>
                  <w:noWrap/>
                  <w:vAlign w:val="bottom"/>
                  <w:hideMark/>
                </w:tcPr>
                <w:p w14:paraId="6C07E806" w14:textId="77777777" w:rsidR="000815E3" w:rsidRPr="004876D1" w:rsidRDefault="000815E3" w:rsidP="000815E3">
                  <w:pPr>
                    <w:rPr>
                      <w:rFonts w:ascii="Times New Roman" w:hAnsi="Times New Roman"/>
                      <w:sz w:val="20"/>
                      <w:lang w:eastAsia="en-GB"/>
                    </w:rPr>
                  </w:pPr>
                </w:p>
              </w:tc>
              <w:tc>
                <w:tcPr>
                  <w:tcW w:w="1169" w:type="dxa"/>
                  <w:tcBorders>
                    <w:top w:val="nil"/>
                    <w:left w:val="nil"/>
                    <w:bottom w:val="nil"/>
                    <w:right w:val="nil"/>
                  </w:tcBorders>
                  <w:shd w:val="clear" w:color="auto" w:fill="auto"/>
                  <w:noWrap/>
                  <w:vAlign w:val="bottom"/>
                  <w:hideMark/>
                </w:tcPr>
                <w:p w14:paraId="065D101D" w14:textId="77777777" w:rsidR="000815E3" w:rsidRPr="004876D1" w:rsidRDefault="000815E3" w:rsidP="000815E3">
                  <w:pPr>
                    <w:rPr>
                      <w:rFonts w:ascii="Times New Roman" w:hAnsi="Times New Roman"/>
                      <w:sz w:val="20"/>
                      <w:lang w:eastAsia="en-GB"/>
                    </w:rPr>
                  </w:pPr>
                </w:p>
              </w:tc>
              <w:tc>
                <w:tcPr>
                  <w:tcW w:w="1252" w:type="dxa"/>
                  <w:gridSpan w:val="2"/>
                  <w:tcBorders>
                    <w:top w:val="nil"/>
                    <w:left w:val="nil"/>
                    <w:bottom w:val="nil"/>
                    <w:right w:val="nil"/>
                  </w:tcBorders>
                  <w:shd w:val="clear" w:color="auto" w:fill="auto"/>
                  <w:noWrap/>
                  <w:vAlign w:val="bottom"/>
                  <w:hideMark/>
                </w:tcPr>
                <w:p w14:paraId="3B3FEB99" w14:textId="77777777" w:rsidR="000815E3" w:rsidRPr="004876D1" w:rsidRDefault="000815E3" w:rsidP="000815E3">
                  <w:pPr>
                    <w:rPr>
                      <w:rFonts w:ascii="Times New Roman" w:hAnsi="Times New Roman"/>
                      <w:sz w:val="20"/>
                      <w:lang w:eastAsia="en-GB"/>
                    </w:rPr>
                  </w:pPr>
                </w:p>
              </w:tc>
              <w:tc>
                <w:tcPr>
                  <w:tcW w:w="709" w:type="dxa"/>
                  <w:tcBorders>
                    <w:top w:val="nil"/>
                    <w:left w:val="nil"/>
                    <w:bottom w:val="nil"/>
                    <w:right w:val="nil"/>
                  </w:tcBorders>
                  <w:shd w:val="clear" w:color="auto" w:fill="auto"/>
                  <w:noWrap/>
                  <w:vAlign w:val="bottom"/>
                  <w:hideMark/>
                </w:tcPr>
                <w:p w14:paraId="1E3E15DD" w14:textId="77777777" w:rsidR="000815E3" w:rsidRPr="004876D1" w:rsidRDefault="000815E3" w:rsidP="000815E3">
                  <w:pPr>
                    <w:rPr>
                      <w:rFonts w:ascii="Times New Roman" w:hAnsi="Times New Roman"/>
                      <w:sz w:val="20"/>
                      <w:lang w:eastAsia="en-GB"/>
                    </w:rPr>
                  </w:pPr>
                </w:p>
              </w:tc>
            </w:tr>
            <w:tr w:rsidR="00030CE4" w:rsidRPr="004876D1" w14:paraId="6F65BAC6" w14:textId="77777777" w:rsidTr="00030CE4">
              <w:trPr>
                <w:trHeight w:val="1160"/>
              </w:trPr>
              <w:tc>
                <w:tcPr>
                  <w:tcW w:w="1260" w:type="dxa"/>
                  <w:gridSpan w:val="2"/>
                  <w:tcBorders>
                    <w:top w:val="single" w:sz="4" w:space="0" w:color="auto"/>
                    <w:left w:val="single" w:sz="4" w:space="0" w:color="auto"/>
                    <w:bottom w:val="single" w:sz="4" w:space="0" w:color="auto"/>
                    <w:right w:val="single" w:sz="4" w:space="0" w:color="auto"/>
                  </w:tcBorders>
                  <w:shd w:val="clear" w:color="000000" w:fill="DDEBF7"/>
                  <w:vAlign w:val="bottom"/>
                  <w:hideMark/>
                </w:tcPr>
                <w:p w14:paraId="0AC909D6"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Type of Support</w:t>
                  </w:r>
                </w:p>
              </w:tc>
              <w:tc>
                <w:tcPr>
                  <w:tcW w:w="868" w:type="dxa"/>
                  <w:gridSpan w:val="2"/>
                  <w:tcBorders>
                    <w:top w:val="single" w:sz="4" w:space="0" w:color="auto"/>
                    <w:left w:val="nil"/>
                    <w:bottom w:val="single" w:sz="4" w:space="0" w:color="auto"/>
                    <w:right w:val="single" w:sz="4" w:space="0" w:color="auto"/>
                  </w:tcBorders>
                  <w:shd w:val="clear" w:color="000000" w:fill="DDEBF7"/>
                  <w:vAlign w:val="bottom"/>
                  <w:hideMark/>
                </w:tcPr>
                <w:p w14:paraId="5D8B1EE6"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No of Offers</w:t>
                  </w:r>
                </w:p>
              </w:tc>
              <w:tc>
                <w:tcPr>
                  <w:tcW w:w="1207" w:type="dxa"/>
                  <w:gridSpan w:val="2"/>
                  <w:tcBorders>
                    <w:top w:val="single" w:sz="4" w:space="0" w:color="auto"/>
                    <w:left w:val="nil"/>
                    <w:bottom w:val="single" w:sz="4" w:space="0" w:color="auto"/>
                    <w:right w:val="single" w:sz="4" w:space="0" w:color="auto"/>
                  </w:tcBorders>
                  <w:shd w:val="clear" w:color="000000" w:fill="DDEBF7"/>
                  <w:vAlign w:val="bottom"/>
                  <w:hideMark/>
                </w:tcPr>
                <w:p w14:paraId="3D2D3452"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Total Assistance £m</w:t>
                  </w:r>
                </w:p>
              </w:tc>
              <w:tc>
                <w:tcPr>
                  <w:tcW w:w="1252" w:type="dxa"/>
                  <w:tcBorders>
                    <w:top w:val="single" w:sz="4" w:space="0" w:color="auto"/>
                    <w:left w:val="nil"/>
                    <w:bottom w:val="single" w:sz="4" w:space="0" w:color="auto"/>
                    <w:right w:val="single" w:sz="4" w:space="0" w:color="auto"/>
                  </w:tcBorders>
                  <w:shd w:val="clear" w:color="000000" w:fill="DDEBF7"/>
                  <w:vAlign w:val="bottom"/>
                  <w:hideMark/>
                </w:tcPr>
                <w:p w14:paraId="0A3D14AB"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Total Planned Investment £m</w:t>
                  </w:r>
                </w:p>
              </w:tc>
              <w:tc>
                <w:tcPr>
                  <w:tcW w:w="856" w:type="dxa"/>
                  <w:gridSpan w:val="2"/>
                  <w:tcBorders>
                    <w:top w:val="single" w:sz="4" w:space="0" w:color="auto"/>
                    <w:left w:val="nil"/>
                    <w:bottom w:val="single" w:sz="4" w:space="0" w:color="auto"/>
                    <w:right w:val="single" w:sz="4" w:space="0" w:color="auto"/>
                  </w:tcBorders>
                  <w:shd w:val="clear" w:color="000000" w:fill="DDEBF7"/>
                  <w:vAlign w:val="bottom"/>
                  <w:hideMark/>
                </w:tcPr>
                <w:p w14:paraId="644EA6A8"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Total New Jobs</w:t>
                  </w:r>
                </w:p>
              </w:tc>
              <w:tc>
                <w:tcPr>
                  <w:tcW w:w="1169"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385C6043"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 of Assistance</w:t>
                  </w:r>
                </w:p>
              </w:tc>
              <w:tc>
                <w:tcPr>
                  <w:tcW w:w="1252" w:type="dxa"/>
                  <w:gridSpan w:val="2"/>
                  <w:tcBorders>
                    <w:top w:val="single" w:sz="4" w:space="0" w:color="auto"/>
                    <w:left w:val="nil"/>
                    <w:bottom w:val="single" w:sz="4" w:space="0" w:color="auto"/>
                    <w:right w:val="single" w:sz="4" w:space="0" w:color="auto"/>
                  </w:tcBorders>
                  <w:shd w:val="clear" w:color="000000" w:fill="DDEBF7"/>
                  <w:vAlign w:val="bottom"/>
                  <w:hideMark/>
                </w:tcPr>
                <w:p w14:paraId="4AE5AD07"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 of Investment</w:t>
                  </w:r>
                </w:p>
              </w:tc>
              <w:tc>
                <w:tcPr>
                  <w:tcW w:w="709" w:type="dxa"/>
                  <w:tcBorders>
                    <w:top w:val="single" w:sz="4" w:space="0" w:color="auto"/>
                    <w:left w:val="nil"/>
                    <w:bottom w:val="single" w:sz="4" w:space="0" w:color="auto"/>
                    <w:right w:val="single" w:sz="4" w:space="0" w:color="auto"/>
                  </w:tcBorders>
                  <w:shd w:val="clear" w:color="000000" w:fill="DDEBF7"/>
                  <w:vAlign w:val="bottom"/>
                  <w:hideMark/>
                </w:tcPr>
                <w:p w14:paraId="682BB258"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 of Jobs</w:t>
                  </w:r>
                </w:p>
              </w:tc>
            </w:tr>
            <w:tr w:rsidR="00030CE4" w:rsidRPr="004876D1" w14:paraId="7397FDF5" w14:textId="77777777" w:rsidTr="00030CE4">
              <w:trPr>
                <w:trHeight w:val="290"/>
              </w:trPr>
              <w:tc>
                <w:tcPr>
                  <w:tcW w:w="12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BB31D8" w14:textId="77777777" w:rsidR="000815E3" w:rsidRPr="00030CE4" w:rsidRDefault="000815E3" w:rsidP="00030CE4">
                  <w:pPr>
                    <w:rPr>
                      <w:rFonts w:ascii="Calibri" w:hAnsi="Calibri"/>
                      <w:color w:val="000000"/>
                      <w:sz w:val="20"/>
                      <w:lang w:eastAsia="en-GB"/>
                    </w:rPr>
                  </w:pPr>
                  <w:r w:rsidRPr="00030CE4">
                    <w:rPr>
                      <w:rFonts w:ascii="Calibri" w:hAnsi="Calibri"/>
                      <w:color w:val="000000"/>
                      <w:sz w:val="20"/>
                      <w:lang w:eastAsia="en-GB"/>
                    </w:rPr>
                    <w:t>Creating Jobs</w:t>
                  </w:r>
                </w:p>
              </w:tc>
              <w:tc>
                <w:tcPr>
                  <w:tcW w:w="868" w:type="dxa"/>
                  <w:gridSpan w:val="2"/>
                  <w:tcBorders>
                    <w:top w:val="nil"/>
                    <w:left w:val="nil"/>
                    <w:bottom w:val="single" w:sz="4" w:space="0" w:color="auto"/>
                    <w:right w:val="single" w:sz="4" w:space="0" w:color="auto"/>
                  </w:tcBorders>
                  <w:shd w:val="clear" w:color="auto" w:fill="auto"/>
                  <w:noWrap/>
                  <w:vAlign w:val="bottom"/>
                  <w:hideMark/>
                </w:tcPr>
                <w:p w14:paraId="2474054F"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1,971</w:t>
                  </w:r>
                </w:p>
              </w:tc>
              <w:tc>
                <w:tcPr>
                  <w:tcW w:w="1207" w:type="dxa"/>
                  <w:gridSpan w:val="2"/>
                  <w:tcBorders>
                    <w:top w:val="nil"/>
                    <w:left w:val="nil"/>
                    <w:bottom w:val="single" w:sz="4" w:space="0" w:color="auto"/>
                    <w:right w:val="single" w:sz="4" w:space="0" w:color="auto"/>
                  </w:tcBorders>
                  <w:shd w:val="clear" w:color="auto" w:fill="auto"/>
                  <w:noWrap/>
                  <w:vAlign w:val="bottom"/>
                  <w:hideMark/>
                </w:tcPr>
                <w:p w14:paraId="11FC7960"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175.08</w:t>
                  </w:r>
                </w:p>
              </w:tc>
              <w:tc>
                <w:tcPr>
                  <w:tcW w:w="1252" w:type="dxa"/>
                  <w:tcBorders>
                    <w:top w:val="nil"/>
                    <w:left w:val="nil"/>
                    <w:bottom w:val="single" w:sz="4" w:space="0" w:color="auto"/>
                    <w:right w:val="single" w:sz="4" w:space="0" w:color="auto"/>
                  </w:tcBorders>
                  <w:shd w:val="clear" w:color="auto" w:fill="auto"/>
                  <w:noWrap/>
                  <w:vAlign w:val="bottom"/>
                  <w:hideMark/>
                </w:tcPr>
                <w:p w14:paraId="1DC90AE7"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1,718.28</w:t>
                  </w:r>
                </w:p>
              </w:tc>
              <w:tc>
                <w:tcPr>
                  <w:tcW w:w="856" w:type="dxa"/>
                  <w:gridSpan w:val="2"/>
                  <w:tcBorders>
                    <w:top w:val="nil"/>
                    <w:left w:val="nil"/>
                    <w:bottom w:val="single" w:sz="4" w:space="0" w:color="auto"/>
                    <w:right w:val="single" w:sz="4" w:space="0" w:color="auto"/>
                  </w:tcBorders>
                  <w:shd w:val="clear" w:color="auto" w:fill="auto"/>
                  <w:noWrap/>
                  <w:vAlign w:val="bottom"/>
                  <w:hideMark/>
                </w:tcPr>
                <w:p w14:paraId="44B40E25"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23,483</w:t>
                  </w:r>
                </w:p>
              </w:tc>
              <w:tc>
                <w:tcPr>
                  <w:tcW w:w="1169" w:type="dxa"/>
                  <w:tcBorders>
                    <w:top w:val="nil"/>
                    <w:left w:val="single" w:sz="4" w:space="0" w:color="auto"/>
                    <w:bottom w:val="single" w:sz="4" w:space="0" w:color="auto"/>
                    <w:right w:val="single" w:sz="4" w:space="0" w:color="auto"/>
                  </w:tcBorders>
                  <w:shd w:val="clear" w:color="auto" w:fill="auto"/>
                  <w:noWrap/>
                  <w:vAlign w:val="bottom"/>
                  <w:hideMark/>
                </w:tcPr>
                <w:p w14:paraId="4A8F6D32"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28%</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7B5CE323"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54%</w:t>
                  </w:r>
                </w:p>
              </w:tc>
              <w:tc>
                <w:tcPr>
                  <w:tcW w:w="709" w:type="dxa"/>
                  <w:tcBorders>
                    <w:top w:val="nil"/>
                    <w:left w:val="nil"/>
                    <w:bottom w:val="single" w:sz="4" w:space="0" w:color="auto"/>
                    <w:right w:val="single" w:sz="4" w:space="0" w:color="auto"/>
                  </w:tcBorders>
                  <w:shd w:val="clear" w:color="auto" w:fill="auto"/>
                  <w:noWrap/>
                  <w:vAlign w:val="bottom"/>
                  <w:hideMark/>
                </w:tcPr>
                <w:p w14:paraId="3582BCF6"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96%</w:t>
                  </w:r>
                </w:p>
              </w:tc>
            </w:tr>
            <w:tr w:rsidR="00030CE4" w:rsidRPr="004876D1" w14:paraId="6B2C7446" w14:textId="77777777" w:rsidTr="00030CE4">
              <w:trPr>
                <w:trHeight w:val="290"/>
              </w:trPr>
              <w:tc>
                <w:tcPr>
                  <w:tcW w:w="12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F6A2FB" w14:textId="77777777" w:rsidR="000815E3" w:rsidRPr="00030CE4" w:rsidRDefault="000815E3" w:rsidP="00030CE4">
                  <w:pPr>
                    <w:rPr>
                      <w:rFonts w:ascii="Calibri" w:hAnsi="Calibri"/>
                      <w:color w:val="000000"/>
                      <w:sz w:val="20"/>
                      <w:lang w:eastAsia="en-GB"/>
                    </w:rPr>
                  </w:pPr>
                  <w:r w:rsidRPr="00030CE4">
                    <w:rPr>
                      <w:rFonts w:ascii="Calibri" w:hAnsi="Calibri"/>
                      <w:color w:val="000000"/>
                      <w:sz w:val="20"/>
                      <w:lang w:eastAsia="en-GB"/>
                    </w:rPr>
                    <w:t>Investing in R&amp;D</w:t>
                  </w:r>
                </w:p>
              </w:tc>
              <w:tc>
                <w:tcPr>
                  <w:tcW w:w="868" w:type="dxa"/>
                  <w:gridSpan w:val="2"/>
                  <w:tcBorders>
                    <w:top w:val="nil"/>
                    <w:left w:val="nil"/>
                    <w:bottom w:val="single" w:sz="4" w:space="0" w:color="auto"/>
                    <w:right w:val="single" w:sz="4" w:space="0" w:color="auto"/>
                  </w:tcBorders>
                  <w:shd w:val="clear" w:color="auto" w:fill="auto"/>
                  <w:noWrap/>
                  <w:vAlign w:val="bottom"/>
                  <w:hideMark/>
                </w:tcPr>
                <w:p w14:paraId="18D73E25"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852</w:t>
                  </w:r>
                </w:p>
              </w:tc>
              <w:tc>
                <w:tcPr>
                  <w:tcW w:w="1207" w:type="dxa"/>
                  <w:gridSpan w:val="2"/>
                  <w:tcBorders>
                    <w:top w:val="nil"/>
                    <w:left w:val="nil"/>
                    <w:bottom w:val="single" w:sz="4" w:space="0" w:color="auto"/>
                    <w:right w:val="single" w:sz="4" w:space="0" w:color="auto"/>
                  </w:tcBorders>
                  <w:shd w:val="clear" w:color="auto" w:fill="auto"/>
                  <w:noWrap/>
                  <w:vAlign w:val="bottom"/>
                  <w:hideMark/>
                </w:tcPr>
                <w:p w14:paraId="1477C572"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192.24</w:t>
                  </w:r>
                </w:p>
              </w:tc>
              <w:tc>
                <w:tcPr>
                  <w:tcW w:w="1252" w:type="dxa"/>
                  <w:tcBorders>
                    <w:top w:val="nil"/>
                    <w:left w:val="nil"/>
                    <w:bottom w:val="single" w:sz="4" w:space="0" w:color="auto"/>
                    <w:right w:val="single" w:sz="4" w:space="0" w:color="auto"/>
                  </w:tcBorders>
                  <w:shd w:val="clear" w:color="auto" w:fill="auto"/>
                  <w:noWrap/>
                  <w:vAlign w:val="bottom"/>
                  <w:hideMark/>
                </w:tcPr>
                <w:p w14:paraId="51DE5C23"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713.23</w:t>
                  </w:r>
                </w:p>
              </w:tc>
              <w:tc>
                <w:tcPr>
                  <w:tcW w:w="856" w:type="dxa"/>
                  <w:gridSpan w:val="2"/>
                  <w:tcBorders>
                    <w:top w:val="nil"/>
                    <w:left w:val="nil"/>
                    <w:bottom w:val="single" w:sz="4" w:space="0" w:color="auto"/>
                    <w:right w:val="single" w:sz="4" w:space="0" w:color="auto"/>
                  </w:tcBorders>
                  <w:shd w:val="clear" w:color="auto" w:fill="auto"/>
                  <w:noWrap/>
                  <w:vAlign w:val="bottom"/>
                  <w:hideMark/>
                </w:tcPr>
                <w:p w14:paraId="5A818D9E"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816</w:t>
                  </w:r>
                </w:p>
              </w:tc>
              <w:tc>
                <w:tcPr>
                  <w:tcW w:w="1169" w:type="dxa"/>
                  <w:tcBorders>
                    <w:top w:val="nil"/>
                    <w:left w:val="single" w:sz="4" w:space="0" w:color="auto"/>
                    <w:bottom w:val="single" w:sz="4" w:space="0" w:color="auto"/>
                    <w:right w:val="single" w:sz="4" w:space="0" w:color="auto"/>
                  </w:tcBorders>
                  <w:shd w:val="clear" w:color="auto" w:fill="auto"/>
                  <w:noWrap/>
                  <w:vAlign w:val="bottom"/>
                  <w:hideMark/>
                </w:tcPr>
                <w:p w14:paraId="3722DD9C"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31%</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4F9C8323"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23%</w:t>
                  </w:r>
                </w:p>
              </w:tc>
              <w:tc>
                <w:tcPr>
                  <w:tcW w:w="709" w:type="dxa"/>
                  <w:tcBorders>
                    <w:top w:val="nil"/>
                    <w:left w:val="nil"/>
                    <w:bottom w:val="single" w:sz="4" w:space="0" w:color="auto"/>
                    <w:right w:val="single" w:sz="4" w:space="0" w:color="auto"/>
                  </w:tcBorders>
                  <w:shd w:val="clear" w:color="auto" w:fill="auto"/>
                  <w:noWrap/>
                  <w:vAlign w:val="bottom"/>
                  <w:hideMark/>
                </w:tcPr>
                <w:p w14:paraId="425FAAE9"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3%</w:t>
                  </w:r>
                </w:p>
              </w:tc>
            </w:tr>
            <w:tr w:rsidR="00030CE4" w:rsidRPr="004876D1" w14:paraId="73892452" w14:textId="77777777" w:rsidTr="00030CE4">
              <w:trPr>
                <w:trHeight w:val="290"/>
              </w:trPr>
              <w:tc>
                <w:tcPr>
                  <w:tcW w:w="12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759426" w14:textId="77777777" w:rsidR="000815E3" w:rsidRPr="00030CE4" w:rsidRDefault="000815E3" w:rsidP="00030CE4">
                  <w:pPr>
                    <w:rPr>
                      <w:rFonts w:ascii="Calibri" w:hAnsi="Calibri"/>
                      <w:color w:val="000000"/>
                      <w:sz w:val="20"/>
                      <w:lang w:eastAsia="en-GB"/>
                    </w:rPr>
                  </w:pPr>
                  <w:r w:rsidRPr="00030CE4">
                    <w:rPr>
                      <w:rFonts w:ascii="Calibri" w:hAnsi="Calibri"/>
                      <w:color w:val="000000"/>
                      <w:sz w:val="20"/>
                      <w:lang w:eastAsia="en-GB"/>
                    </w:rPr>
                    <w:t>Developing Skills</w:t>
                  </w:r>
                </w:p>
              </w:tc>
              <w:tc>
                <w:tcPr>
                  <w:tcW w:w="868" w:type="dxa"/>
                  <w:gridSpan w:val="2"/>
                  <w:tcBorders>
                    <w:top w:val="nil"/>
                    <w:left w:val="nil"/>
                    <w:bottom w:val="single" w:sz="4" w:space="0" w:color="auto"/>
                    <w:right w:val="single" w:sz="4" w:space="0" w:color="auto"/>
                  </w:tcBorders>
                  <w:shd w:val="clear" w:color="auto" w:fill="auto"/>
                  <w:noWrap/>
                  <w:vAlign w:val="bottom"/>
                  <w:hideMark/>
                </w:tcPr>
                <w:p w14:paraId="70C12CE0"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1,171</w:t>
                  </w:r>
                </w:p>
              </w:tc>
              <w:tc>
                <w:tcPr>
                  <w:tcW w:w="1207" w:type="dxa"/>
                  <w:gridSpan w:val="2"/>
                  <w:tcBorders>
                    <w:top w:val="nil"/>
                    <w:left w:val="nil"/>
                    <w:bottom w:val="single" w:sz="4" w:space="0" w:color="auto"/>
                    <w:right w:val="single" w:sz="4" w:space="0" w:color="auto"/>
                  </w:tcBorders>
                  <w:shd w:val="clear" w:color="auto" w:fill="auto"/>
                  <w:noWrap/>
                  <w:vAlign w:val="bottom"/>
                  <w:hideMark/>
                </w:tcPr>
                <w:p w14:paraId="3DE37A9F"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45.96</w:t>
                  </w:r>
                </w:p>
              </w:tc>
              <w:tc>
                <w:tcPr>
                  <w:tcW w:w="1252" w:type="dxa"/>
                  <w:tcBorders>
                    <w:top w:val="nil"/>
                    <w:left w:val="nil"/>
                    <w:bottom w:val="single" w:sz="4" w:space="0" w:color="auto"/>
                    <w:right w:val="single" w:sz="4" w:space="0" w:color="auto"/>
                  </w:tcBorders>
                  <w:shd w:val="clear" w:color="auto" w:fill="auto"/>
                  <w:noWrap/>
                  <w:vAlign w:val="bottom"/>
                  <w:hideMark/>
                </w:tcPr>
                <w:p w14:paraId="5AE3F94E"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172.38</w:t>
                  </w:r>
                </w:p>
              </w:tc>
              <w:tc>
                <w:tcPr>
                  <w:tcW w:w="856" w:type="dxa"/>
                  <w:gridSpan w:val="2"/>
                  <w:tcBorders>
                    <w:top w:val="nil"/>
                    <w:left w:val="nil"/>
                    <w:bottom w:val="single" w:sz="4" w:space="0" w:color="auto"/>
                    <w:right w:val="single" w:sz="4" w:space="0" w:color="auto"/>
                  </w:tcBorders>
                  <w:shd w:val="clear" w:color="auto" w:fill="auto"/>
                  <w:noWrap/>
                  <w:vAlign w:val="bottom"/>
                  <w:hideMark/>
                </w:tcPr>
                <w:p w14:paraId="76E0137A"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150</w:t>
                  </w:r>
                </w:p>
              </w:tc>
              <w:tc>
                <w:tcPr>
                  <w:tcW w:w="1169" w:type="dxa"/>
                  <w:tcBorders>
                    <w:top w:val="nil"/>
                    <w:left w:val="single" w:sz="4" w:space="0" w:color="auto"/>
                    <w:bottom w:val="single" w:sz="4" w:space="0" w:color="auto"/>
                    <w:right w:val="single" w:sz="4" w:space="0" w:color="auto"/>
                  </w:tcBorders>
                  <w:shd w:val="clear" w:color="auto" w:fill="auto"/>
                  <w:noWrap/>
                  <w:vAlign w:val="bottom"/>
                  <w:hideMark/>
                </w:tcPr>
                <w:p w14:paraId="0D582FFA"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7%</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0B3538A7"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5%</w:t>
                  </w:r>
                </w:p>
              </w:tc>
              <w:tc>
                <w:tcPr>
                  <w:tcW w:w="709" w:type="dxa"/>
                  <w:tcBorders>
                    <w:top w:val="nil"/>
                    <w:left w:val="nil"/>
                    <w:bottom w:val="single" w:sz="4" w:space="0" w:color="auto"/>
                    <w:right w:val="single" w:sz="4" w:space="0" w:color="auto"/>
                  </w:tcBorders>
                  <w:shd w:val="clear" w:color="auto" w:fill="auto"/>
                  <w:noWrap/>
                  <w:vAlign w:val="bottom"/>
                  <w:hideMark/>
                </w:tcPr>
                <w:p w14:paraId="13CB264D"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w:t>
                  </w:r>
                </w:p>
              </w:tc>
            </w:tr>
            <w:tr w:rsidR="00030CE4" w:rsidRPr="004876D1" w14:paraId="3B93CBDE" w14:textId="77777777" w:rsidTr="00030CE4">
              <w:trPr>
                <w:trHeight w:val="290"/>
              </w:trPr>
              <w:tc>
                <w:tcPr>
                  <w:tcW w:w="12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436183" w14:textId="77777777" w:rsidR="000815E3" w:rsidRPr="00030CE4" w:rsidRDefault="000815E3" w:rsidP="00030CE4">
                  <w:pPr>
                    <w:rPr>
                      <w:rFonts w:ascii="Calibri" w:hAnsi="Calibri"/>
                      <w:color w:val="000000"/>
                      <w:sz w:val="20"/>
                      <w:lang w:eastAsia="en-GB"/>
                    </w:rPr>
                  </w:pPr>
                  <w:r w:rsidRPr="00030CE4">
                    <w:rPr>
                      <w:rFonts w:ascii="Calibri" w:hAnsi="Calibri"/>
                      <w:color w:val="000000"/>
                      <w:sz w:val="20"/>
                      <w:lang w:eastAsia="en-GB"/>
                    </w:rPr>
                    <w:t>Developing Overseas Trade Capability</w:t>
                  </w:r>
                </w:p>
              </w:tc>
              <w:tc>
                <w:tcPr>
                  <w:tcW w:w="868" w:type="dxa"/>
                  <w:gridSpan w:val="2"/>
                  <w:tcBorders>
                    <w:top w:val="nil"/>
                    <w:left w:val="nil"/>
                    <w:bottom w:val="single" w:sz="4" w:space="0" w:color="auto"/>
                    <w:right w:val="single" w:sz="4" w:space="0" w:color="auto"/>
                  </w:tcBorders>
                  <w:shd w:val="clear" w:color="auto" w:fill="auto"/>
                  <w:noWrap/>
                  <w:vAlign w:val="bottom"/>
                  <w:hideMark/>
                </w:tcPr>
                <w:p w14:paraId="0700C505"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4,876</w:t>
                  </w:r>
                </w:p>
              </w:tc>
              <w:tc>
                <w:tcPr>
                  <w:tcW w:w="1207" w:type="dxa"/>
                  <w:gridSpan w:val="2"/>
                  <w:tcBorders>
                    <w:top w:val="nil"/>
                    <w:left w:val="nil"/>
                    <w:bottom w:val="single" w:sz="4" w:space="0" w:color="auto"/>
                    <w:right w:val="single" w:sz="4" w:space="0" w:color="auto"/>
                  </w:tcBorders>
                  <w:shd w:val="clear" w:color="auto" w:fill="auto"/>
                  <w:noWrap/>
                  <w:vAlign w:val="bottom"/>
                  <w:hideMark/>
                </w:tcPr>
                <w:p w14:paraId="43930FFB"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12.76</w:t>
                  </w:r>
                </w:p>
              </w:tc>
              <w:tc>
                <w:tcPr>
                  <w:tcW w:w="1252" w:type="dxa"/>
                  <w:tcBorders>
                    <w:top w:val="nil"/>
                    <w:left w:val="nil"/>
                    <w:bottom w:val="single" w:sz="4" w:space="0" w:color="auto"/>
                    <w:right w:val="single" w:sz="4" w:space="0" w:color="auto"/>
                  </w:tcBorders>
                  <w:shd w:val="clear" w:color="auto" w:fill="auto"/>
                  <w:noWrap/>
                  <w:vAlign w:val="bottom"/>
                  <w:hideMark/>
                </w:tcPr>
                <w:p w14:paraId="7BD8EEBD"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24.15</w:t>
                  </w:r>
                </w:p>
              </w:tc>
              <w:tc>
                <w:tcPr>
                  <w:tcW w:w="856" w:type="dxa"/>
                  <w:gridSpan w:val="2"/>
                  <w:tcBorders>
                    <w:top w:val="nil"/>
                    <w:left w:val="nil"/>
                    <w:bottom w:val="single" w:sz="4" w:space="0" w:color="auto"/>
                    <w:right w:val="single" w:sz="4" w:space="0" w:color="auto"/>
                  </w:tcBorders>
                  <w:shd w:val="clear" w:color="auto" w:fill="auto"/>
                  <w:noWrap/>
                  <w:vAlign w:val="bottom"/>
                  <w:hideMark/>
                </w:tcPr>
                <w:p w14:paraId="4C4BD1B4"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c>
                <w:tcPr>
                  <w:tcW w:w="1169" w:type="dxa"/>
                  <w:tcBorders>
                    <w:top w:val="nil"/>
                    <w:left w:val="single" w:sz="4" w:space="0" w:color="auto"/>
                    <w:bottom w:val="single" w:sz="4" w:space="0" w:color="auto"/>
                    <w:right w:val="single" w:sz="4" w:space="0" w:color="auto"/>
                  </w:tcBorders>
                  <w:shd w:val="clear" w:color="auto" w:fill="auto"/>
                  <w:noWrap/>
                  <w:vAlign w:val="bottom"/>
                  <w:hideMark/>
                </w:tcPr>
                <w:p w14:paraId="13B8C8C6"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2%</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32FB1A5D"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662F31BB"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r>
            <w:tr w:rsidR="00030CE4" w:rsidRPr="004876D1" w14:paraId="2F6E0ADB" w14:textId="77777777" w:rsidTr="00030CE4">
              <w:trPr>
                <w:trHeight w:val="290"/>
              </w:trPr>
              <w:tc>
                <w:tcPr>
                  <w:tcW w:w="12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00E3EF" w14:textId="77777777" w:rsidR="000815E3" w:rsidRPr="00030CE4" w:rsidRDefault="000815E3" w:rsidP="00030CE4">
                  <w:pPr>
                    <w:rPr>
                      <w:rFonts w:ascii="Calibri" w:hAnsi="Calibri"/>
                      <w:color w:val="000000"/>
                      <w:sz w:val="20"/>
                      <w:lang w:eastAsia="en-GB"/>
                    </w:rPr>
                  </w:pPr>
                  <w:r w:rsidRPr="00030CE4">
                    <w:rPr>
                      <w:rFonts w:ascii="Calibri" w:hAnsi="Calibri"/>
                      <w:color w:val="000000"/>
                      <w:sz w:val="20"/>
                      <w:lang w:eastAsia="en-GB"/>
                    </w:rPr>
                    <w:t>Venture Capital Fund</w:t>
                  </w:r>
                </w:p>
              </w:tc>
              <w:tc>
                <w:tcPr>
                  <w:tcW w:w="868" w:type="dxa"/>
                  <w:gridSpan w:val="2"/>
                  <w:tcBorders>
                    <w:top w:val="nil"/>
                    <w:left w:val="nil"/>
                    <w:bottom w:val="single" w:sz="4" w:space="0" w:color="auto"/>
                    <w:right w:val="single" w:sz="4" w:space="0" w:color="auto"/>
                  </w:tcBorders>
                  <w:shd w:val="clear" w:color="auto" w:fill="auto"/>
                  <w:noWrap/>
                  <w:vAlign w:val="bottom"/>
                  <w:hideMark/>
                </w:tcPr>
                <w:p w14:paraId="2D350AF6"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1,065</w:t>
                  </w:r>
                </w:p>
              </w:tc>
              <w:tc>
                <w:tcPr>
                  <w:tcW w:w="1207" w:type="dxa"/>
                  <w:gridSpan w:val="2"/>
                  <w:tcBorders>
                    <w:top w:val="nil"/>
                    <w:left w:val="nil"/>
                    <w:bottom w:val="single" w:sz="4" w:space="0" w:color="auto"/>
                    <w:right w:val="single" w:sz="4" w:space="0" w:color="auto"/>
                  </w:tcBorders>
                  <w:shd w:val="clear" w:color="auto" w:fill="auto"/>
                  <w:noWrap/>
                  <w:vAlign w:val="bottom"/>
                  <w:hideMark/>
                </w:tcPr>
                <w:p w14:paraId="66F24F9D"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105.04</w:t>
                  </w:r>
                </w:p>
              </w:tc>
              <w:tc>
                <w:tcPr>
                  <w:tcW w:w="1252" w:type="dxa"/>
                  <w:tcBorders>
                    <w:top w:val="nil"/>
                    <w:left w:val="nil"/>
                    <w:bottom w:val="single" w:sz="4" w:space="0" w:color="auto"/>
                    <w:right w:val="single" w:sz="4" w:space="0" w:color="auto"/>
                  </w:tcBorders>
                  <w:shd w:val="clear" w:color="auto" w:fill="auto"/>
                  <w:noWrap/>
                  <w:vAlign w:val="bottom"/>
                  <w:hideMark/>
                </w:tcPr>
                <w:p w14:paraId="78E5287A"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333.27</w:t>
                  </w:r>
                </w:p>
              </w:tc>
              <w:tc>
                <w:tcPr>
                  <w:tcW w:w="856" w:type="dxa"/>
                  <w:gridSpan w:val="2"/>
                  <w:tcBorders>
                    <w:top w:val="nil"/>
                    <w:left w:val="nil"/>
                    <w:bottom w:val="single" w:sz="4" w:space="0" w:color="auto"/>
                    <w:right w:val="single" w:sz="4" w:space="0" w:color="auto"/>
                  </w:tcBorders>
                  <w:shd w:val="clear" w:color="auto" w:fill="auto"/>
                  <w:noWrap/>
                  <w:vAlign w:val="bottom"/>
                  <w:hideMark/>
                </w:tcPr>
                <w:p w14:paraId="0A4EC67C"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c>
                <w:tcPr>
                  <w:tcW w:w="1169" w:type="dxa"/>
                  <w:tcBorders>
                    <w:top w:val="nil"/>
                    <w:left w:val="single" w:sz="4" w:space="0" w:color="auto"/>
                    <w:bottom w:val="single" w:sz="4" w:space="0" w:color="auto"/>
                    <w:right w:val="single" w:sz="4" w:space="0" w:color="auto"/>
                  </w:tcBorders>
                  <w:shd w:val="clear" w:color="auto" w:fill="auto"/>
                  <w:noWrap/>
                  <w:vAlign w:val="bottom"/>
                  <w:hideMark/>
                </w:tcPr>
                <w:p w14:paraId="0B2147C2"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17%</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16CAA69C"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11%</w:t>
                  </w:r>
                </w:p>
              </w:tc>
              <w:tc>
                <w:tcPr>
                  <w:tcW w:w="709" w:type="dxa"/>
                  <w:tcBorders>
                    <w:top w:val="nil"/>
                    <w:left w:val="nil"/>
                    <w:bottom w:val="single" w:sz="4" w:space="0" w:color="auto"/>
                    <w:right w:val="single" w:sz="4" w:space="0" w:color="auto"/>
                  </w:tcBorders>
                  <w:shd w:val="clear" w:color="auto" w:fill="auto"/>
                  <w:noWrap/>
                  <w:vAlign w:val="bottom"/>
                  <w:hideMark/>
                </w:tcPr>
                <w:p w14:paraId="77666CEF"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r>
            <w:tr w:rsidR="00030CE4" w:rsidRPr="004876D1" w14:paraId="32F77AE7" w14:textId="77777777" w:rsidTr="00030CE4">
              <w:trPr>
                <w:trHeight w:val="290"/>
              </w:trPr>
              <w:tc>
                <w:tcPr>
                  <w:tcW w:w="12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A33B1E" w14:textId="77777777" w:rsidR="000815E3" w:rsidRPr="00030CE4" w:rsidRDefault="000815E3" w:rsidP="00030CE4">
                  <w:pPr>
                    <w:rPr>
                      <w:rFonts w:ascii="Calibri" w:hAnsi="Calibri"/>
                      <w:color w:val="000000"/>
                      <w:sz w:val="20"/>
                      <w:lang w:eastAsia="en-GB"/>
                    </w:rPr>
                  </w:pPr>
                  <w:r w:rsidRPr="00030CE4">
                    <w:rPr>
                      <w:rFonts w:ascii="Calibri" w:hAnsi="Calibri"/>
                      <w:color w:val="000000"/>
                      <w:sz w:val="20"/>
                      <w:lang w:eastAsia="en-GB"/>
                    </w:rPr>
                    <w:t>Covid</w:t>
                  </w:r>
                </w:p>
              </w:tc>
              <w:tc>
                <w:tcPr>
                  <w:tcW w:w="868" w:type="dxa"/>
                  <w:gridSpan w:val="2"/>
                  <w:tcBorders>
                    <w:top w:val="nil"/>
                    <w:left w:val="nil"/>
                    <w:bottom w:val="single" w:sz="4" w:space="0" w:color="auto"/>
                    <w:right w:val="single" w:sz="4" w:space="0" w:color="auto"/>
                  </w:tcBorders>
                  <w:shd w:val="clear" w:color="auto" w:fill="auto"/>
                  <w:noWrap/>
                  <w:vAlign w:val="bottom"/>
                  <w:hideMark/>
                </w:tcPr>
                <w:p w14:paraId="301FB349"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453</w:t>
                  </w:r>
                </w:p>
              </w:tc>
              <w:tc>
                <w:tcPr>
                  <w:tcW w:w="1207" w:type="dxa"/>
                  <w:gridSpan w:val="2"/>
                  <w:tcBorders>
                    <w:top w:val="nil"/>
                    <w:left w:val="nil"/>
                    <w:bottom w:val="single" w:sz="4" w:space="0" w:color="auto"/>
                    <w:right w:val="single" w:sz="4" w:space="0" w:color="auto"/>
                  </w:tcBorders>
                  <w:shd w:val="clear" w:color="auto" w:fill="auto"/>
                  <w:noWrap/>
                  <w:vAlign w:val="bottom"/>
                  <w:hideMark/>
                </w:tcPr>
                <w:p w14:paraId="4B2DB2A3"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5.78</w:t>
                  </w:r>
                </w:p>
              </w:tc>
              <w:tc>
                <w:tcPr>
                  <w:tcW w:w="1252" w:type="dxa"/>
                  <w:tcBorders>
                    <w:top w:val="nil"/>
                    <w:left w:val="nil"/>
                    <w:bottom w:val="single" w:sz="4" w:space="0" w:color="auto"/>
                    <w:right w:val="single" w:sz="4" w:space="0" w:color="auto"/>
                  </w:tcBorders>
                  <w:shd w:val="clear" w:color="auto" w:fill="auto"/>
                  <w:noWrap/>
                  <w:vAlign w:val="bottom"/>
                  <w:hideMark/>
                </w:tcPr>
                <w:p w14:paraId="332AFD1E"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10.98</w:t>
                  </w:r>
                </w:p>
              </w:tc>
              <w:tc>
                <w:tcPr>
                  <w:tcW w:w="856" w:type="dxa"/>
                  <w:gridSpan w:val="2"/>
                  <w:tcBorders>
                    <w:top w:val="nil"/>
                    <w:left w:val="nil"/>
                    <w:bottom w:val="single" w:sz="4" w:space="0" w:color="auto"/>
                    <w:right w:val="single" w:sz="4" w:space="0" w:color="auto"/>
                  </w:tcBorders>
                  <w:shd w:val="clear" w:color="auto" w:fill="auto"/>
                  <w:noWrap/>
                  <w:vAlign w:val="bottom"/>
                  <w:hideMark/>
                </w:tcPr>
                <w:p w14:paraId="133D42F0"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c>
                <w:tcPr>
                  <w:tcW w:w="1169" w:type="dxa"/>
                  <w:tcBorders>
                    <w:top w:val="nil"/>
                    <w:left w:val="single" w:sz="4" w:space="0" w:color="auto"/>
                    <w:bottom w:val="single" w:sz="4" w:space="0" w:color="auto"/>
                    <w:right w:val="single" w:sz="4" w:space="0" w:color="auto"/>
                  </w:tcBorders>
                  <w:shd w:val="clear" w:color="auto" w:fill="auto"/>
                  <w:noWrap/>
                  <w:vAlign w:val="bottom"/>
                  <w:hideMark/>
                </w:tcPr>
                <w:p w14:paraId="303DBF44"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4BDF5185"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51472F89"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r>
            <w:tr w:rsidR="00030CE4" w:rsidRPr="004876D1" w14:paraId="7CA05CED" w14:textId="77777777" w:rsidTr="00030CE4">
              <w:trPr>
                <w:trHeight w:val="290"/>
              </w:trPr>
              <w:tc>
                <w:tcPr>
                  <w:tcW w:w="12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32CB7B" w14:textId="77777777" w:rsidR="000815E3" w:rsidRPr="00030CE4" w:rsidRDefault="000815E3" w:rsidP="00030CE4">
                  <w:pPr>
                    <w:rPr>
                      <w:rFonts w:ascii="Calibri" w:hAnsi="Calibri"/>
                      <w:color w:val="000000"/>
                      <w:sz w:val="20"/>
                      <w:lang w:eastAsia="en-GB"/>
                    </w:rPr>
                  </w:pPr>
                  <w:r w:rsidRPr="00030CE4">
                    <w:rPr>
                      <w:rFonts w:ascii="Calibri" w:hAnsi="Calibri"/>
                      <w:color w:val="000000"/>
                      <w:sz w:val="20"/>
                      <w:lang w:eastAsia="en-GB"/>
                    </w:rPr>
                    <w:t>Other</w:t>
                  </w:r>
                </w:p>
              </w:tc>
              <w:tc>
                <w:tcPr>
                  <w:tcW w:w="868" w:type="dxa"/>
                  <w:gridSpan w:val="2"/>
                  <w:tcBorders>
                    <w:top w:val="nil"/>
                    <w:left w:val="nil"/>
                    <w:bottom w:val="single" w:sz="4" w:space="0" w:color="auto"/>
                    <w:right w:val="single" w:sz="4" w:space="0" w:color="auto"/>
                  </w:tcBorders>
                  <w:shd w:val="clear" w:color="auto" w:fill="auto"/>
                  <w:noWrap/>
                  <w:vAlign w:val="bottom"/>
                  <w:hideMark/>
                </w:tcPr>
                <w:p w14:paraId="46B5062C"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812</w:t>
                  </w:r>
                </w:p>
              </w:tc>
              <w:tc>
                <w:tcPr>
                  <w:tcW w:w="1207" w:type="dxa"/>
                  <w:gridSpan w:val="2"/>
                  <w:tcBorders>
                    <w:top w:val="nil"/>
                    <w:left w:val="nil"/>
                    <w:bottom w:val="single" w:sz="4" w:space="0" w:color="auto"/>
                    <w:right w:val="single" w:sz="4" w:space="0" w:color="auto"/>
                  </w:tcBorders>
                  <w:shd w:val="clear" w:color="auto" w:fill="auto"/>
                  <w:noWrap/>
                  <w:vAlign w:val="bottom"/>
                  <w:hideMark/>
                </w:tcPr>
                <w:p w14:paraId="29BAB3AE"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38.58</w:t>
                  </w:r>
                </w:p>
              </w:tc>
              <w:tc>
                <w:tcPr>
                  <w:tcW w:w="1252" w:type="dxa"/>
                  <w:tcBorders>
                    <w:top w:val="nil"/>
                    <w:left w:val="nil"/>
                    <w:bottom w:val="single" w:sz="4" w:space="0" w:color="auto"/>
                    <w:right w:val="single" w:sz="4" w:space="0" w:color="auto"/>
                  </w:tcBorders>
                  <w:shd w:val="clear" w:color="auto" w:fill="auto"/>
                  <w:noWrap/>
                  <w:vAlign w:val="bottom"/>
                  <w:hideMark/>
                </w:tcPr>
                <w:p w14:paraId="7A8BF10D"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109.95</w:t>
                  </w:r>
                </w:p>
              </w:tc>
              <w:tc>
                <w:tcPr>
                  <w:tcW w:w="856" w:type="dxa"/>
                  <w:gridSpan w:val="2"/>
                  <w:tcBorders>
                    <w:top w:val="nil"/>
                    <w:left w:val="nil"/>
                    <w:bottom w:val="single" w:sz="4" w:space="0" w:color="auto"/>
                    <w:right w:val="single" w:sz="4" w:space="0" w:color="auto"/>
                  </w:tcBorders>
                  <w:shd w:val="clear" w:color="auto" w:fill="auto"/>
                  <w:noWrap/>
                  <w:vAlign w:val="bottom"/>
                  <w:hideMark/>
                </w:tcPr>
                <w:p w14:paraId="65AB6D91"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c>
                <w:tcPr>
                  <w:tcW w:w="1169" w:type="dxa"/>
                  <w:tcBorders>
                    <w:top w:val="nil"/>
                    <w:left w:val="single" w:sz="4" w:space="0" w:color="auto"/>
                    <w:bottom w:val="single" w:sz="4" w:space="0" w:color="auto"/>
                    <w:right w:val="single" w:sz="4" w:space="0" w:color="auto"/>
                  </w:tcBorders>
                  <w:shd w:val="clear" w:color="auto" w:fill="auto"/>
                  <w:noWrap/>
                  <w:vAlign w:val="bottom"/>
                  <w:hideMark/>
                </w:tcPr>
                <w:p w14:paraId="7C97389A"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6%</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50635F7C"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3%</w:t>
                  </w:r>
                </w:p>
              </w:tc>
              <w:tc>
                <w:tcPr>
                  <w:tcW w:w="709" w:type="dxa"/>
                  <w:tcBorders>
                    <w:top w:val="nil"/>
                    <w:left w:val="nil"/>
                    <w:bottom w:val="single" w:sz="4" w:space="0" w:color="auto"/>
                    <w:right w:val="single" w:sz="4" w:space="0" w:color="auto"/>
                  </w:tcBorders>
                  <w:shd w:val="clear" w:color="auto" w:fill="auto"/>
                  <w:noWrap/>
                  <w:vAlign w:val="bottom"/>
                  <w:hideMark/>
                </w:tcPr>
                <w:p w14:paraId="0F52F57C"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r>
            <w:tr w:rsidR="00030CE4" w:rsidRPr="004876D1" w14:paraId="69BB573C" w14:textId="77777777" w:rsidTr="00030CE4">
              <w:trPr>
                <w:trHeight w:val="290"/>
              </w:trPr>
              <w:tc>
                <w:tcPr>
                  <w:tcW w:w="1260" w:type="dxa"/>
                  <w:gridSpan w:val="2"/>
                  <w:tcBorders>
                    <w:top w:val="nil"/>
                    <w:left w:val="single" w:sz="4" w:space="0" w:color="auto"/>
                    <w:bottom w:val="nil"/>
                    <w:right w:val="single" w:sz="4" w:space="0" w:color="auto"/>
                  </w:tcBorders>
                  <w:shd w:val="clear" w:color="auto" w:fill="auto"/>
                  <w:noWrap/>
                  <w:vAlign w:val="bottom"/>
                  <w:hideMark/>
                </w:tcPr>
                <w:p w14:paraId="2F19E9DC" w14:textId="77777777" w:rsidR="000815E3" w:rsidRPr="00030CE4" w:rsidRDefault="000815E3" w:rsidP="00030CE4">
                  <w:pPr>
                    <w:rPr>
                      <w:rFonts w:ascii="Calibri" w:hAnsi="Calibri"/>
                      <w:color w:val="000000"/>
                      <w:sz w:val="20"/>
                      <w:lang w:eastAsia="en-GB"/>
                    </w:rPr>
                  </w:pPr>
                  <w:r w:rsidRPr="00030CE4">
                    <w:rPr>
                      <w:rFonts w:ascii="Calibri" w:hAnsi="Calibri"/>
                      <w:color w:val="000000"/>
                      <w:sz w:val="20"/>
                      <w:lang w:eastAsia="en-GB"/>
                    </w:rPr>
                    <w:t xml:space="preserve">Developing Innovation &amp; Technology  </w:t>
                  </w:r>
                </w:p>
              </w:tc>
              <w:tc>
                <w:tcPr>
                  <w:tcW w:w="868" w:type="dxa"/>
                  <w:gridSpan w:val="2"/>
                  <w:tcBorders>
                    <w:top w:val="nil"/>
                    <w:left w:val="nil"/>
                    <w:bottom w:val="nil"/>
                    <w:right w:val="single" w:sz="4" w:space="0" w:color="auto"/>
                  </w:tcBorders>
                  <w:shd w:val="clear" w:color="auto" w:fill="auto"/>
                  <w:noWrap/>
                  <w:vAlign w:val="bottom"/>
                  <w:hideMark/>
                </w:tcPr>
                <w:p w14:paraId="102D56D8"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4,768</w:t>
                  </w:r>
                </w:p>
              </w:tc>
              <w:tc>
                <w:tcPr>
                  <w:tcW w:w="1207" w:type="dxa"/>
                  <w:gridSpan w:val="2"/>
                  <w:tcBorders>
                    <w:top w:val="nil"/>
                    <w:left w:val="nil"/>
                    <w:bottom w:val="nil"/>
                    <w:right w:val="single" w:sz="4" w:space="0" w:color="auto"/>
                  </w:tcBorders>
                  <w:shd w:val="clear" w:color="auto" w:fill="auto"/>
                  <w:noWrap/>
                  <w:vAlign w:val="bottom"/>
                  <w:hideMark/>
                </w:tcPr>
                <w:p w14:paraId="36695F9B"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39.22</w:t>
                  </w:r>
                </w:p>
              </w:tc>
              <w:tc>
                <w:tcPr>
                  <w:tcW w:w="1252" w:type="dxa"/>
                  <w:tcBorders>
                    <w:top w:val="nil"/>
                    <w:left w:val="nil"/>
                    <w:bottom w:val="nil"/>
                    <w:right w:val="single" w:sz="4" w:space="0" w:color="auto"/>
                  </w:tcBorders>
                  <w:shd w:val="clear" w:color="auto" w:fill="auto"/>
                  <w:noWrap/>
                  <w:vAlign w:val="bottom"/>
                  <w:hideMark/>
                </w:tcPr>
                <w:p w14:paraId="03858D90"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79.61</w:t>
                  </w:r>
                </w:p>
              </w:tc>
              <w:tc>
                <w:tcPr>
                  <w:tcW w:w="856" w:type="dxa"/>
                  <w:gridSpan w:val="2"/>
                  <w:tcBorders>
                    <w:top w:val="nil"/>
                    <w:left w:val="nil"/>
                    <w:bottom w:val="nil"/>
                    <w:right w:val="single" w:sz="4" w:space="0" w:color="auto"/>
                  </w:tcBorders>
                  <w:shd w:val="clear" w:color="auto" w:fill="auto"/>
                  <w:noWrap/>
                  <w:vAlign w:val="bottom"/>
                  <w:hideMark/>
                </w:tcPr>
                <w:p w14:paraId="35946F08"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c>
                <w:tcPr>
                  <w:tcW w:w="1169" w:type="dxa"/>
                  <w:tcBorders>
                    <w:top w:val="nil"/>
                    <w:left w:val="single" w:sz="4" w:space="0" w:color="auto"/>
                    <w:bottom w:val="nil"/>
                    <w:right w:val="single" w:sz="4" w:space="0" w:color="auto"/>
                  </w:tcBorders>
                  <w:shd w:val="clear" w:color="auto" w:fill="auto"/>
                  <w:noWrap/>
                  <w:vAlign w:val="bottom"/>
                  <w:hideMark/>
                </w:tcPr>
                <w:p w14:paraId="1A7455B5"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6%</w:t>
                  </w:r>
                </w:p>
              </w:tc>
              <w:tc>
                <w:tcPr>
                  <w:tcW w:w="1252" w:type="dxa"/>
                  <w:gridSpan w:val="2"/>
                  <w:tcBorders>
                    <w:top w:val="nil"/>
                    <w:left w:val="nil"/>
                    <w:bottom w:val="nil"/>
                    <w:right w:val="single" w:sz="4" w:space="0" w:color="auto"/>
                  </w:tcBorders>
                  <w:shd w:val="clear" w:color="auto" w:fill="auto"/>
                  <w:noWrap/>
                  <w:vAlign w:val="bottom"/>
                  <w:hideMark/>
                </w:tcPr>
                <w:p w14:paraId="7C08C563"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3%</w:t>
                  </w:r>
                </w:p>
              </w:tc>
              <w:tc>
                <w:tcPr>
                  <w:tcW w:w="709" w:type="dxa"/>
                  <w:tcBorders>
                    <w:top w:val="nil"/>
                    <w:left w:val="nil"/>
                    <w:bottom w:val="nil"/>
                    <w:right w:val="single" w:sz="4" w:space="0" w:color="auto"/>
                  </w:tcBorders>
                  <w:shd w:val="clear" w:color="auto" w:fill="auto"/>
                  <w:noWrap/>
                  <w:vAlign w:val="bottom"/>
                  <w:hideMark/>
                </w:tcPr>
                <w:p w14:paraId="77894F7D"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0%</w:t>
                  </w:r>
                </w:p>
              </w:tc>
            </w:tr>
            <w:tr w:rsidR="00030CE4" w:rsidRPr="00030CE4" w14:paraId="70B183B6" w14:textId="77777777" w:rsidTr="00030CE4">
              <w:trPr>
                <w:trHeight w:val="290"/>
              </w:trPr>
              <w:tc>
                <w:tcPr>
                  <w:tcW w:w="126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30E7721" w14:textId="77777777" w:rsidR="000815E3" w:rsidRPr="00030CE4" w:rsidRDefault="000815E3" w:rsidP="000815E3">
                  <w:pPr>
                    <w:rPr>
                      <w:rFonts w:ascii="Calibri" w:hAnsi="Calibri"/>
                      <w:b/>
                      <w:bCs/>
                      <w:color w:val="000000"/>
                      <w:sz w:val="20"/>
                      <w:lang w:eastAsia="en-GB"/>
                    </w:rPr>
                  </w:pPr>
                  <w:r w:rsidRPr="00030CE4">
                    <w:rPr>
                      <w:rFonts w:ascii="Calibri" w:hAnsi="Calibri"/>
                      <w:b/>
                      <w:bCs/>
                      <w:color w:val="000000"/>
                      <w:sz w:val="20"/>
                      <w:lang w:eastAsia="en-GB"/>
                    </w:rPr>
                    <w:t>Total</w:t>
                  </w:r>
                </w:p>
              </w:tc>
              <w:tc>
                <w:tcPr>
                  <w:tcW w:w="868"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6CFD2120" w14:textId="77777777" w:rsidR="000815E3" w:rsidRPr="00030CE4" w:rsidRDefault="000815E3" w:rsidP="000815E3">
                  <w:pPr>
                    <w:jc w:val="right"/>
                    <w:rPr>
                      <w:rFonts w:ascii="Calibri" w:hAnsi="Calibri"/>
                      <w:b/>
                      <w:bCs/>
                      <w:color w:val="000000"/>
                      <w:sz w:val="20"/>
                      <w:lang w:eastAsia="en-GB"/>
                    </w:rPr>
                  </w:pPr>
                  <w:r w:rsidRPr="00030CE4">
                    <w:rPr>
                      <w:rFonts w:ascii="Calibri" w:hAnsi="Calibri"/>
                      <w:b/>
                      <w:bCs/>
                      <w:color w:val="000000"/>
                      <w:sz w:val="20"/>
                      <w:lang w:eastAsia="en-GB"/>
                    </w:rPr>
                    <w:t>15,968</w:t>
                  </w:r>
                </w:p>
              </w:tc>
              <w:tc>
                <w:tcPr>
                  <w:tcW w:w="1207"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45ECB74B" w14:textId="77777777" w:rsidR="000815E3" w:rsidRPr="00030CE4" w:rsidRDefault="000815E3" w:rsidP="000815E3">
                  <w:pPr>
                    <w:jc w:val="right"/>
                    <w:rPr>
                      <w:rFonts w:ascii="Calibri" w:hAnsi="Calibri"/>
                      <w:b/>
                      <w:bCs/>
                      <w:color w:val="000000"/>
                      <w:sz w:val="20"/>
                      <w:lang w:eastAsia="en-GB"/>
                    </w:rPr>
                  </w:pPr>
                  <w:r w:rsidRPr="00030CE4">
                    <w:rPr>
                      <w:rFonts w:ascii="Calibri" w:hAnsi="Calibri"/>
                      <w:b/>
                      <w:bCs/>
                      <w:color w:val="000000"/>
                      <w:sz w:val="20"/>
                      <w:lang w:eastAsia="en-GB"/>
                    </w:rPr>
                    <w:t>614.65</w:t>
                  </w:r>
                </w:p>
              </w:tc>
              <w:tc>
                <w:tcPr>
                  <w:tcW w:w="1252" w:type="dxa"/>
                  <w:tcBorders>
                    <w:top w:val="single" w:sz="4" w:space="0" w:color="auto"/>
                    <w:left w:val="nil"/>
                    <w:bottom w:val="single" w:sz="4" w:space="0" w:color="auto"/>
                    <w:right w:val="single" w:sz="4" w:space="0" w:color="auto"/>
                  </w:tcBorders>
                  <w:shd w:val="clear" w:color="000000" w:fill="DDEBF7"/>
                  <w:noWrap/>
                  <w:vAlign w:val="bottom"/>
                  <w:hideMark/>
                </w:tcPr>
                <w:p w14:paraId="25409D07" w14:textId="77777777" w:rsidR="000815E3" w:rsidRPr="00030CE4" w:rsidRDefault="000815E3" w:rsidP="000815E3">
                  <w:pPr>
                    <w:jc w:val="right"/>
                    <w:rPr>
                      <w:rFonts w:ascii="Calibri" w:hAnsi="Calibri"/>
                      <w:b/>
                      <w:bCs/>
                      <w:color w:val="000000"/>
                      <w:sz w:val="20"/>
                      <w:lang w:eastAsia="en-GB"/>
                    </w:rPr>
                  </w:pPr>
                  <w:r w:rsidRPr="00030CE4">
                    <w:rPr>
                      <w:rFonts w:ascii="Calibri" w:hAnsi="Calibri"/>
                      <w:b/>
                      <w:bCs/>
                      <w:color w:val="000000"/>
                      <w:sz w:val="20"/>
                      <w:lang w:eastAsia="en-GB"/>
                    </w:rPr>
                    <w:t>3,161.84</w:t>
                  </w:r>
                </w:p>
              </w:tc>
              <w:tc>
                <w:tcPr>
                  <w:tcW w:w="856"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3AD4D4C8" w14:textId="77777777" w:rsidR="000815E3" w:rsidRPr="00030CE4" w:rsidRDefault="000815E3" w:rsidP="000815E3">
                  <w:pPr>
                    <w:jc w:val="right"/>
                    <w:rPr>
                      <w:rFonts w:ascii="Calibri" w:hAnsi="Calibri"/>
                      <w:b/>
                      <w:bCs/>
                      <w:color w:val="000000"/>
                      <w:sz w:val="20"/>
                      <w:lang w:eastAsia="en-GB"/>
                    </w:rPr>
                  </w:pPr>
                  <w:r w:rsidRPr="00030CE4">
                    <w:rPr>
                      <w:rFonts w:ascii="Calibri" w:hAnsi="Calibri"/>
                      <w:b/>
                      <w:bCs/>
                      <w:color w:val="000000"/>
                      <w:sz w:val="20"/>
                      <w:lang w:eastAsia="en-GB"/>
                    </w:rPr>
                    <w:t>24,449</w:t>
                  </w:r>
                </w:p>
              </w:tc>
              <w:tc>
                <w:tcPr>
                  <w:tcW w:w="1169"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1F3E230" w14:textId="77777777" w:rsidR="000815E3" w:rsidRPr="00030CE4" w:rsidRDefault="000815E3" w:rsidP="000815E3">
                  <w:pPr>
                    <w:jc w:val="right"/>
                    <w:rPr>
                      <w:rFonts w:ascii="Calibri" w:hAnsi="Calibri"/>
                      <w:b/>
                      <w:bCs/>
                      <w:color w:val="000000"/>
                      <w:sz w:val="20"/>
                      <w:lang w:eastAsia="en-GB"/>
                    </w:rPr>
                  </w:pPr>
                  <w:r w:rsidRPr="00030CE4">
                    <w:rPr>
                      <w:rFonts w:ascii="Calibri" w:hAnsi="Calibri"/>
                      <w:b/>
                      <w:bCs/>
                      <w:color w:val="000000"/>
                      <w:sz w:val="20"/>
                      <w:lang w:eastAsia="en-GB"/>
                    </w:rPr>
                    <w:t>100%</w:t>
                  </w:r>
                </w:p>
              </w:tc>
              <w:tc>
                <w:tcPr>
                  <w:tcW w:w="1252"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543903A2" w14:textId="77777777" w:rsidR="000815E3" w:rsidRPr="00030CE4" w:rsidRDefault="000815E3" w:rsidP="000815E3">
                  <w:pPr>
                    <w:jc w:val="right"/>
                    <w:rPr>
                      <w:rFonts w:ascii="Calibri" w:hAnsi="Calibri"/>
                      <w:b/>
                      <w:bCs/>
                      <w:color w:val="000000"/>
                      <w:sz w:val="20"/>
                      <w:lang w:eastAsia="en-GB"/>
                    </w:rPr>
                  </w:pPr>
                  <w:r w:rsidRPr="00030CE4">
                    <w:rPr>
                      <w:rFonts w:ascii="Calibri" w:hAnsi="Calibri"/>
                      <w:b/>
                      <w:bCs/>
                      <w:color w:val="000000"/>
                      <w:sz w:val="20"/>
                      <w:lang w:eastAsia="en-GB"/>
                    </w:rPr>
                    <w:t>100%</w:t>
                  </w:r>
                </w:p>
              </w:tc>
              <w:tc>
                <w:tcPr>
                  <w:tcW w:w="709" w:type="dxa"/>
                  <w:tcBorders>
                    <w:top w:val="single" w:sz="4" w:space="0" w:color="auto"/>
                    <w:left w:val="nil"/>
                    <w:bottom w:val="single" w:sz="4" w:space="0" w:color="auto"/>
                    <w:right w:val="single" w:sz="4" w:space="0" w:color="auto"/>
                  </w:tcBorders>
                  <w:shd w:val="clear" w:color="000000" w:fill="DDEBF7"/>
                  <w:noWrap/>
                  <w:vAlign w:val="bottom"/>
                  <w:hideMark/>
                </w:tcPr>
                <w:p w14:paraId="2A4D4089" w14:textId="77777777" w:rsidR="000815E3" w:rsidRPr="00030CE4" w:rsidRDefault="000815E3" w:rsidP="000815E3">
                  <w:pPr>
                    <w:jc w:val="right"/>
                    <w:rPr>
                      <w:rFonts w:ascii="Calibri" w:hAnsi="Calibri"/>
                      <w:b/>
                      <w:bCs/>
                      <w:color w:val="000000"/>
                      <w:sz w:val="20"/>
                      <w:lang w:eastAsia="en-GB"/>
                    </w:rPr>
                  </w:pPr>
                  <w:r w:rsidRPr="00030CE4">
                    <w:rPr>
                      <w:rFonts w:ascii="Calibri" w:hAnsi="Calibri"/>
                      <w:b/>
                      <w:bCs/>
                      <w:color w:val="000000"/>
                      <w:sz w:val="20"/>
                      <w:lang w:eastAsia="en-GB"/>
                    </w:rPr>
                    <w:t>100%</w:t>
                  </w:r>
                </w:p>
              </w:tc>
            </w:tr>
            <w:tr w:rsidR="000815E3" w:rsidRPr="004876D1" w14:paraId="066A87D3" w14:textId="77777777" w:rsidTr="00030CE4">
              <w:trPr>
                <w:trHeight w:val="290"/>
              </w:trPr>
              <w:tc>
                <w:tcPr>
                  <w:tcW w:w="8573" w:type="dxa"/>
                  <w:gridSpan w:val="13"/>
                  <w:tcBorders>
                    <w:top w:val="nil"/>
                    <w:left w:val="nil"/>
                    <w:bottom w:val="nil"/>
                    <w:right w:val="nil"/>
                  </w:tcBorders>
                  <w:shd w:val="clear" w:color="auto" w:fill="auto"/>
                  <w:noWrap/>
                  <w:vAlign w:val="bottom"/>
                  <w:hideMark/>
                </w:tcPr>
                <w:p w14:paraId="6516C2F1" w14:textId="77777777" w:rsidR="000815E3" w:rsidRDefault="000815E3" w:rsidP="000815E3">
                  <w:pPr>
                    <w:rPr>
                      <w:rFonts w:ascii="Calibri" w:hAnsi="Calibri"/>
                      <w:b/>
                      <w:bCs/>
                      <w:color w:val="000000"/>
                      <w:lang w:eastAsia="en-GB"/>
                    </w:rPr>
                  </w:pPr>
                </w:p>
                <w:p w14:paraId="77CFEA38" w14:textId="77777777" w:rsidR="00EC66D1" w:rsidRDefault="00EC66D1" w:rsidP="000815E3">
                  <w:pPr>
                    <w:rPr>
                      <w:rFonts w:ascii="Calibri" w:hAnsi="Calibri"/>
                      <w:b/>
                      <w:bCs/>
                      <w:color w:val="000000"/>
                      <w:lang w:eastAsia="en-GB"/>
                    </w:rPr>
                  </w:pPr>
                </w:p>
                <w:p w14:paraId="7E5951CA" w14:textId="1A40CD21" w:rsidR="00EC66D1" w:rsidRDefault="00EC66D1" w:rsidP="000815E3">
                  <w:pPr>
                    <w:rPr>
                      <w:rFonts w:ascii="Calibri" w:hAnsi="Calibri"/>
                      <w:b/>
                      <w:bCs/>
                      <w:color w:val="000000"/>
                      <w:lang w:eastAsia="en-GB"/>
                    </w:rPr>
                  </w:pPr>
                  <w:r>
                    <w:t>Invest NI is delivering for all of Northern Ireland with 73% of offers, 63% of assistance and 59% of investment made to companies outside Belfast.</w:t>
                  </w:r>
                </w:p>
                <w:p w14:paraId="43A39E81" w14:textId="77777777" w:rsidR="00EC66D1" w:rsidRDefault="00EC66D1" w:rsidP="000815E3">
                  <w:pPr>
                    <w:rPr>
                      <w:rFonts w:ascii="Calibri" w:hAnsi="Calibri"/>
                      <w:b/>
                      <w:bCs/>
                      <w:color w:val="000000"/>
                      <w:lang w:eastAsia="en-GB"/>
                    </w:rPr>
                  </w:pPr>
                </w:p>
                <w:p w14:paraId="770498E5"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Outside Belfast Activity Invest NI 2016-17 to 2020-21</w:t>
                  </w:r>
                </w:p>
              </w:tc>
            </w:tr>
            <w:tr w:rsidR="000815E3" w:rsidRPr="004876D1" w14:paraId="43221219" w14:textId="77777777" w:rsidTr="00030CE4">
              <w:trPr>
                <w:gridAfter w:val="2"/>
                <w:wAfter w:w="1463" w:type="dxa"/>
                <w:trHeight w:val="290"/>
              </w:trPr>
              <w:tc>
                <w:tcPr>
                  <w:tcW w:w="1037" w:type="dxa"/>
                  <w:vMerge w:val="restart"/>
                  <w:tcBorders>
                    <w:top w:val="single" w:sz="4" w:space="0" w:color="auto"/>
                    <w:left w:val="single" w:sz="4" w:space="0" w:color="auto"/>
                    <w:bottom w:val="single" w:sz="4" w:space="0" w:color="000000"/>
                    <w:right w:val="nil"/>
                  </w:tcBorders>
                  <w:shd w:val="clear" w:color="000000" w:fill="DDEBF7"/>
                  <w:noWrap/>
                  <w:vAlign w:val="bottom"/>
                  <w:hideMark/>
                </w:tcPr>
                <w:p w14:paraId="3FE95C3B"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Year</w:t>
                  </w:r>
                </w:p>
              </w:tc>
              <w:tc>
                <w:tcPr>
                  <w:tcW w:w="6073" w:type="dxa"/>
                  <w:gridSpan w:val="10"/>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76840E36" w14:textId="77777777" w:rsidR="000815E3" w:rsidRPr="004876D1" w:rsidRDefault="000815E3" w:rsidP="00030CE4">
                  <w:pPr>
                    <w:jc w:val="center"/>
                    <w:rPr>
                      <w:rFonts w:ascii="Calibri" w:hAnsi="Calibri"/>
                      <w:b/>
                      <w:bCs/>
                      <w:color w:val="000000"/>
                      <w:lang w:eastAsia="en-GB"/>
                    </w:rPr>
                  </w:pPr>
                  <w:r w:rsidRPr="004876D1">
                    <w:rPr>
                      <w:rFonts w:ascii="Calibri" w:hAnsi="Calibri"/>
                      <w:b/>
                      <w:bCs/>
                      <w:color w:val="000000"/>
                      <w:lang w:eastAsia="en-GB"/>
                    </w:rPr>
                    <w:t>% Outside Belfast</w:t>
                  </w:r>
                </w:p>
              </w:tc>
            </w:tr>
            <w:tr w:rsidR="00030CE4" w:rsidRPr="004876D1" w14:paraId="09E6AB97" w14:textId="77777777" w:rsidTr="00030CE4">
              <w:trPr>
                <w:gridAfter w:val="2"/>
                <w:wAfter w:w="1463" w:type="dxa"/>
                <w:trHeight w:val="884"/>
              </w:trPr>
              <w:tc>
                <w:tcPr>
                  <w:tcW w:w="1037" w:type="dxa"/>
                  <w:vMerge/>
                  <w:tcBorders>
                    <w:top w:val="single" w:sz="4" w:space="0" w:color="auto"/>
                    <w:left w:val="single" w:sz="4" w:space="0" w:color="auto"/>
                    <w:bottom w:val="single" w:sz="4" w:space="0" w:color="000000"/>
                    <w:right w:val="nil"/>
                  </w:tcBorders>
                  <w:vAlign w:val="center"/>
                  <w:hideMark/>
                </w:tcPr>
                <w:p w14:paraId="0D1D12E4" w14:textId="77777777" w:rsidR="000815E3" w:rsidRPr="004876D1" w:rsidRDefault="000815E3" w:rsidP="000815E3">
                  <w:pPr>
                    <w:rPr>
                      <w:rFonts w:ascii="Calibri" w:hAnsi="Calibri"/>
                      <w:b/>
                      <w:bCs/>
                      <w:color w:val="000000"/>
                      <w:lang w:eastAsia="en-GB"/>
                    </w:rPr>
                  </w:pPr>
                </w:p>
              </w:tc>
              <w:tc>
                <w:tcPr>
                  <w:tcW w:w="797" w:type="dxa"/>
                  <w:gridSpan w:val="2"/>
                  <w:tcBorders>
                    <w:top w:val="nil"/>
                    <w:left w:val="single" w:sz="4" w:space="0" w:color="auto"/>
                    <w:bottom w:val="single" w:sz="4" w:space="0" w:color="auto"/>
                    <w:right w:val="single" w:sz="4" w:space="0" w:color="auto"/>
                  </w:tcBorders>
                  <w:shd w:val="clear" w:color="000000" w:fill="DDEBF7"/>
                  <w:vAlign w:val="bottom"/>
                  <w:hideMark/>
                </w:tcPr>
                <w:p w14:paraId="2F6A6515" w14:textId="77777777" w:rsidR="000815E3" w:rsidRPr="00030CE4" w:rsidRDefault="000815E3" w:rsidP="00030CE4">
                  <w:pPr>
                    <w:jc w:val="center"/>
                    <w:rPr>
                      <w:rFonts w:ascii="Calibri" w:hAnsi="Calibri"/>
                      <w:b/>
                      <w:bCs/>
                      <w:color w:val="000000"/>
                      <w:sz w:val="20"/>
                      <w:lang w:eastAsia="en-GB"/>
                    </w:rPr>
                  </w:pPr>
                  <w:r w:rsidRPr="00030CE4">
                    <w:rPr>
                      <w:rFonts w:ascii="Calibri" w:hAnsi="Calibri"/>
                      <w:b/>
                      <w:bCs/>
                      <w:color w:val="000000"/>
                      <w:sz w:val="20"/>
                      <w:lang w:eastAsia="en-GB"/>
                    </w:rPr>
                    <w:t>No of Offers</w:t>
                  </w:r>
                </w:p>
              </w:tc>
              <w:tc>
                <w:tcPr>
                  <w:tcW w:w="1188" w:type="dxa"/>
                  <w:gridSpan w:val="2"/>
                  <w:tcBorders>
                    <w:top w:val="nil"/>
                    <w:left w:val="nil"/>
                    <w:bottom w:val="single" w:sz="4" w:space="0" w:color="auto"/>
                    <w:right w:val="single" w:sz="4" w:space="0" w:color="auto"/>
                  </w:tcBorders>
                  <w:shd w:val="clear" w:color="000000" w:fill="DDEBF7"/>
                  <w:vAlign w:val="bottom"/>
                  <w:hideMark/>
                </w:tcPr>
                <w:p w14:paraId="1FB4AF92" w14:textId="77777777" w:rsidR="000815E3" w:rsidRPr="00030CE4" w:rsidRDefault="000815E3" w:rsidP="00030CE4">
                  <w:pPr>
                    <w:jc w:val="center"/>
                    <w:rPr>
                      <w:rFonts w:ascii="Calibri" w:hAnsi="Calibri"/>
                      <w:b/>
                      <w:bCs/>
                      <w:color w:val="000000"/>
                      <w:sz w:val="20"/>
                      <w:lang w:eastAsia="en-GB"/>
                    </w:rPr>
                  </w:pPr>
                  <w:r w:rsidRPr="00030CE4">
                    <w:rPr>
                      <w:rFonts w:ascii="Calibri" w:hAnsi="Calibri"/>
                      <w:b/>
                      <w:bCs/>
                      <w:color w:val="000000"/>
                      <w:sz w:val="20"/>
                      <w:lang w:eastAsia="en-GB"/>
                    </w:rPr>
                    <w:t>Total Assistance £m</w:t>
                  </w:r>
                </w:p>
              </w:tc>
              <w:tc>
                <w:tcPr>
                  <w:tcW w:w="2112" w:type="dxa"/>
                  <w:gridSpan w:val="3"/>
                  <w:tcBorders>
                    <w:top w:val="nil"/>
                    <w:left w:val="nil"/>
                    <w:bottom w:val="single" w:sz="4" w:space="0" w:color="auto"/>
                    <w:right w:val="single" w:sz="4" w:space="0" w:color="auto"/>
                  </w:tcBorders>
                  <w:shd w:val="clear" w:color="000000" w:fill="DDEBF7"/>
                  <w:vAlign w:val="bottom"/>
                  <w:hideMark/>
                </w:tcPr>
                <w:p w14:paraId="71C03ED1" w14:textId="77777777" w:rsidR="000815E3" w:rsidRPr="00030CE4" w:rsidRDefault="000815E3" w:rsidP="00030CE4">
                  <w:pPr>
                    <w:jc w:val="center"/>
                    <w:rPr>
                      <w:rFonts w:ascii="Calibri" w:hAnsi="Calibri"/>
                      <w:b/>
                      <w:bCs/>
                      <w:color w:val="000000"/>
                      <w:sz w:val="20"/>
                      <w:lang w:eastAsia="en-GB"/>
                    </w:rPr>
                  </w:pPr>
                  <w:r w:rsidRPr="00030CE4">
                    <w:rPr>
                      <w:rFonts w:ascii="Calibri" w:hAnsi="Calibri"/>
                      <w:b/>
                      <w:bCs/>
                      <w:color w:val="000000"/>
                      <w:sz w:val="20"/>
                      <w:lang w:eastAsia="en-GB"/>
                    </w:rPr>
                    <w:t>Total Planned Investment £m</w:t>
                  </w:r>
                </w:p>
              </w:tc>
              <w:tc>
                <w:tcPr>
                  <w:tcW w:w="1976" w:type="dxa"/>
                  <w:gridSpan w:val="3"/>
                  <w:tcBorders>
                    <w:top w:val="nil"/>
                    <w:left w:val="nil"/>
                    <w:bottom w:val="single" w:sz="4" w:space="0" w:color="auto"/>
                    <w:right w:val="single" w:sz="4" w:space="0" w:color="auto"/>
                  </w:tcBorders>
                  <w:shd w:val="clear" w:color="000000" w:fill="DDEBF7"/>
                  <w:vAlign w:val="bottom"/>
                  <w:hideMark/>
                </w:tcPr>
                <w:p w14:paraId="7736BC67" w14:textId="77777777" w:rsidR="000815E3" w:rsidRPr="00030CE4" w:rsidRDefault="000815E3" w:rsidP="00030CE4">
                  <w:pPr>
                    <w:jc w:val="center"/>
                    <w:rPr>
                      <w:rFonts w:ascii="Calibri" w:hAnsi="Calibri"/>
                      <w:b/>
                      <w:bCs/>
                      <w:color w:val="000000"/>
                      <w:sz w:val="20"/>
                      <w:lang w:eastAsia="en-GB"/>
                    </w:rPr>
                  </w:pPr>
                  <w:r w:rsidRPr="00030CE4">
                    <w:rPr>
                      <w:rFonts w:ascii="Calibri" w:hAnsi="Calibri"/>
                      <w:b/>
                      <w:bCs/>
                      <w:color w:val="000000"/>
                      <w:sz w:val="20"/>
                      <w:lang w:eastAsia="en-GB"/>
                    </w:rPr>
                    <w:t>Total New Jobs</w:t>
                  </w:r>
                </w:p>
              </w:tc>
            </w:tr>
            <w:tr w:rsidR="00030CE4" w:rsidRPr="004876D1" w14:paraId="2E752CA0" w14:textId="77777777" w:rsidTr="00030CE4">
              <w:trPr>
                <w:gridAfter w:val="2"/>
                <w:wAfter w:w="1463" w:type="dxa"/>
                <w:trHeight w:val="290"/>
              </w:trPr>
              <w:tc>
                <w:tcPr>
                  <w:tcW w:w="1037" w:type="dxa"/>
                  <w:tcBorders>
                    <w:top w:val="nil"/>
                    <w:left w:val="single" w:sz="4" w:space="0" w:color="auto"/>
                    <w:bottom w:val="single" w:sz="4" w:space="0" w:color="auto"/>
                    <w:right w:val="nil"/>
                  </w:tcBorders>
                  <w:shd w:val="clear" w:color="auto" w:fill="auto"/>
                  <w:noWrap/>
                  <w:vAlign w:val="bottom"/>
                  <w:hideMark/>
                </w:tcPr>
                <w:p w14:paraId="7151702E" w14:textId="77777777" w:rsidR="000815E3" w:rsidRPr="004876D1" w:rsidRDefault="000815E3" w:rsidP="000815E3">
                  <w:pPr>
                    <w:rPr>
                      <w:rFonts w:ascii="Calibri" w:hAnsi="Calibri"/>
                      <w:color w:val="000000"/>
                      <w:lang w:eastAsia="en-GB"/>
                    </w:rPr>
                  </w:pPr>
                  <w:r w:rsidRPr="004876D1">
                    <w:rPr>
                      <w:rFonts w:ascii="Calibri" w:hAnsi="Calibri"/>
                      <w:color w:val="000000"/>
                      <w:lang w:eastAsia="en-GB"/>
                    </w:rPr>
                    <w:lastRenderedPageBreak/>
                    <w:t>2016-17</w:t>
                  </w:r>
                </w:p>
              </w:tc>
              <w:tc>
                <w:tcPr>
                  <w:tcW w:w="7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499AFB"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76%</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0ECB7C35"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72%</w:t>
                  </w:r>
                </w:p>
              </w:tc>
              <w:tc>
                <w:tcPr>
                  <w:tcW w:w="2112" w:type="dxa"/>
                  <w:gridSpan w:val="3"/>
                  <w:tcBorders>
                    <w:top w:val="nil"/>
                    <w:left w:val="nil"/>
                    <w:bottom w:val="single" w:sz="4" w:space="0" w:color="auto"/>
                    <w:right w:val="single" w:sz="4" w:space="0" w:color="auto"/>
                  </w:tcBorders>
                  <w:shd w:val="clear" w:color="auto" w:fill="auto"/>
                  <w:noWrap/>
                  <w:vAlign w:val="bottom"/>
                  <w:hideMark/>
                </w:tcPr>
                <w:p w14:paraId="2F68BBBF"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67%</w:t>
                  </w:r>
                </w:p>
              </w:tc>
              <w:tc>
                <w:tcPr>
                  <w:tcW w:w="1976" w:type="dxa"/>
                  <w:gridSpan w:val="3"/>
                  <w:tcBorders>
                    <w:top w:val="nil"/>
                    <w:left w:val="nil"/>
                    <w:bottom w:val="single" w:sz="4" w:space="0" w:color="auto"/>
                    <w:right w:val="single" w:sz="4" w:space="0" w:color="auto"/>
                  </w:tcBorders>
                  <w:shd w:val="clear" w:color="auto" w:fill="auto"/>
                  <w:noWrap/>
                  <w:vAlign w:val="bottom"/>
                  <w:hideMark/>
                </w:tcPr>
                <w:p w14:paraId="5FF75498"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60%</w:t>
                  </w:r>
                </w:p>
              </w:tc>
            </w:tr>
            <w:tr w:rsidR="00030CE4" w:rsidRPr="004876D1" w14:paraId="275AA650" w14:textId="77777777" w:rsidTr="00030CE4">
              <w:trPr>
                <w:gridAfter w:val="2"/>
                <w:wAfter w:w="1463" w:type="dxa"/>
                <w:trHeight w:val="290"/>
              </w:trPr>
              <w:tc>
                <w:tcPr>
                  <w:tcW w:w="1037" w:type="dxa"/>
                  <w:tcBorders>
                    <w:top w:val="nil"/>
                    <w:left w:val="single" w:sz="4" w:space="0" w:color="auto"/>
                    <w:bottom w:val="single" w:sz="4" w:space="0" w:color="auto"/>
                    <w:right w:val="nil"/>
                  </w:tcBorders>
                  <w:shd w:val="clear" w:color="auto" w:fill="auto"/>
                  <w:noWrap/>
                  <w:vAlign w:val="bottom"/>
                  <w:hideMark/>
                </w:tcPr>
                <w:p w14:paraId="603DD50F" w14:textId="77777777" w:rsidR="000815E3" w:rsidRPr="004876D1" w:rsidRDefault="000815E3" w:rsidP="000815E3">
                  <w:pPr>
                    <w:rPr>
                      <w:rFonts w:ascii="Calibri" w:hAnsi="Calibri"/>
                      <w:color w:val="000000"/>
                      <w:lang w:eastAsia="en-GB"/>
                    </w:rPr>
                  </w:pPr>
                  <w:r w:rsidRPr="004876D1">
                    <w:rPr>
                      <w:rFonts w:ascii="Calibri" w:hAnsi="Calibri"/>
                      <w:color w:val="000000"/>
                      <w:lang w:eastAsia="en-GB"/>
                    </w:rPr>
                    <w:t>2017-18</w:t>
                  </w:r>
                </w:p>
              </w:tc>
              <w:tc>
                <w:tcPr>
                  <w:tcW w:w="7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237F9C"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74%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4FE3515F"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57%</w:t>
                  </w:r>
                </w:p>
              </w:tc>
              <w:tc>
                <w:tcPr>
                  <w:tcW w:w="2112" w:type="dxa"/>
                  <w:gridSpan w:val="3"/>
                  <w:tcBorders>
                    <w:top w:val="nil"/>
                    <w:left w:val="nil"/>
                    <w:bottom w:val="single" w:sz="4" w:space="0" w:color="auto"/>
                    <w:right w:val="single" w:sz="4" w:space="0" w:color="auto"/>
                  </w:tcBorders>
                  <w:shd w:val="clear" w:color="auto" w:fill="auto"/>
                  <w:noWrap/>
                  <w:vAlign w:val="bottom"/>
                  <w:hideMark/>
                </w:tcPr>
                <w:p w14:paraId="5EB59136"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55%</w:t>
                  </w:r>
                </w:p>
              </w:tc>
              <w:tc>
                <w:tcPr>
                  <w:tcW w:w="1976" w:type="dxa"/>
                  <w:gridSpan w:val="3"/>
                  <w:tcBorders>
                    <w:top w:val="nil"/>
                    <w:left w:val="nil"/>
                    <w:bottom w:val="single" w:sz="4" w:space="0" w:color="auto"/>
                    <w:right w:val="single" w:sz="4" w:space="0" w:color="auto"/>
                  </w:tcBorders>
                  <w:shd w:val="clear" w:color="auto" w:fill="auto"/>
                  <w:noWrap/>
                  <w:vAlign w:val="bottom"/>
                  <w:hideMark/>
                </w:tcPr>
                <w:p w14:paraId="7690AD70"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55%</w:t>
                  </w:r>
                </w:p>
              </w:tc>
            </w:tr>
            <w:tr w:rsidR="00030CE4" w:rsidRPr="004876D1" w14:paraId="613EE66F" w14:textId="77777777" w:rsidTr="00030CE4">
              <w:trPr>
                <w:gridAfter w:val="2"/>
                <w:wAfter w:w="1463" w:type="dxa"/>
                <w:trHeight w:val="290"/>
              </w:trPr>
              <w:tc>
                <w:tcPr>
                  <w:tcW w:w="1037" w:type="dxa"/>
                  <w:tcBorders>
                    <w:top w:val="nil"/>
                    <w:left w:val="single" w:sz="4" w:space="0" w:color="auto"/>
                    <w:bottom w:val="single" w:sz="4" w:space="0" w:color="auto"/>
                    <w:right w:val="nil"/>
                  </w:tcBorders>
                  <w:shd w:val="clear" w:color="auto" w:fill="auto"/>
                  <w:noWrap/>
                  <w:vAlign w:val="bottom"/>
                  <w:hideMark/>
                </w:tcPr>
                <w:p w14:paraId="5BAB1205" w14:textId="77777777" w:rsidR="000815E3" w:rsidRPr="004876D1" w:rsidRDefault="000815E3" w:rsidP="000815E3">
                  <w:pPr>
                    <w:rPr>
                      <w:rFonts w:ascii="Calibri" w:hAnsi="Calibri"/>
                      <w:color w:val="000000"/>
                      <w:lang w:eastAsia="en-GB"/>
                    </w:rPr>
                  </w:pPr>
                  <w:r w:rsidRPr="004876D1">
                    <w:rPr>
                      <w:rFonts w:ascii="Calibri" w:hAnsi="Calibri"/>
                      <w:color w:val="000000"/>
                      <w:lang w:eastAsia="en-GB"/>
                    </w:rPr>
                    <w:t>2018-19</w:t>
                  </w:r>
                </w:p>
              </w:tc>
              <w:tc>
                <w:tcPr>
                  <w:tcW w:w="7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DF242E"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73%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277BD4CD"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60%</w:t>
                  </w:r>
                </w:p>
              </w:tc>
              <w:tc>
                <w:tcPr>
                  <w:tcW w:w="2112" w:type="dxa"/>
                  <w:gridSpan w:val="3"/>
                  <w:tcBorders>
                    <w:top w:val="nil"/>
                    <w:left w:val="nil"/>
                    <w:bottom w:val="single" w:sz="4" w:space="0" w:color="auto"/>
                    <w:right w:val="single" w:sz="4" w:space="0" w:color="auto"/>
                  </w:tcBorders>
                  <w:shd w:val="clear" w:color="auto" w:fill="auto"/>
                  <w:noWrap/>
                  <w:vAlign w:val="bottom"/>
                  <w:hideMark/>
                </w:tcPr>
                <w:p w14:paraId="549F7904"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55%</w:t>
                  </w:r>
                </w:p>
              </w:tc>
              <w:tc>
                <w:tcPr>
                  <w:tcW w:w="1976" w:type="dxa"/>
                  <w:gridSpan w:val="3"/>
                  <w:tcBorders>
                    <w:top w:val="nil"/>
                    <w:left w:val="nil"/>
                    <w:bottom w:val="single" w:sz="4" w:space="0" w:color="auto"/>
                    <w:right w:val="single" w:sz="4" w:space="0" w:color="auto"/>
                  </w:tcBorders>
                  <w:shd w:val="clear" w:color="auto" w:fill="auto"/>
                  <w:noWrap/>
                  <w:vAlign w:val="bottom"/>
                  <w:hideMark/>
                </w:tcPr>
                <w:p w14:paraId="04F25F4E"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62%</w:t>
                  </w:r>
                </w:p>
              </w:tc>
            </w:tr>
            <w:tr w:rsidR="00030CE4" w:rsidRPr="004876D1" w14:paraId="0928D1DD" w14:textId="77777777" w:rsidTr="00030CE4">
              <w:trPr>
                <w:gridAfter w:val="2"/>
                <w:wAfter w:w="1463" w:type="dxa"/>
                <w:trHeight w:val="290"/>
              </w:trPr>
              <w:tc>
                <w:tcPr>
                  <w:tcW w:w="1037" w:type="dxa"/>
                  <w:tcBorders>
                    <w:top w:val="nil"/>
                    <w:left w:val="single" w:sz="4" w:space="0" w:color="auto"/>
                    <w:bottom w:val="single" w:sz="4" w:space="0" w:color="auto"/>
                    <w:right w:val="nil"/>
                  </w:tcBorders>
                  <w:shd w:val="clear" w:color="auto" w:fill="auto"/>
                  <w:noWrap/>
                  <w:vAlign w:val="bottom"/>
                  <w:hideMark/>
                </w:tcPr>
                <w:p w14:paraId="451B2BE2" w14:textId="77777777" w:rsidR="000815E3" w:rsidRPr="004876D1" w:rsidRDefault="000815E3" w:rsidP="000815E3">
                  <w:pPr>
                    <w:rPr>
                      <w:rFonts w:ascii="Calibri" w:hAnsi="Calibri"/>
                      <w:color w:val="000000"/>
                      <w:lang w:eastAsia="en-GB"/>
                    </w:rPr>
                  </w:pPr>
                  <w:r w:rsidRPr="004876D1">
                    <w:rPr>
                      <w:rFonts w:ascii="Calibri" w:hAnsi="Calibri"/>
                      <w:color w:val="000000"/>
                      <w:lang w:eastAsia="en-GB"/>
                    </w:rPr>
                    <w:t>2019-20</w:t>
                  </w:r>
                </w:p>
              </w:tc>
              <w:tc>
                <w:tcPr>
                  <w:tcW w:w="7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6F44BC"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70%</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4DACACA6"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59%</w:t>
                  </w:r>
                </w:p>
              </w:tc>
              <w:tc>
                <w:tcPr>
                  <w:tcW w:w="2112" w:type="dxa"/>
                  <w:gridSpan w:val="3"/>
                  <w:tcBorders>
                    <w:top w:val="nil"/>
                    <w:left w:val="nil"/>
                    <w:bottom w:val="single" w:sz="4" w:space="0" w:color="auto"/>
                    <w:right w:val="single" w:sz="4" w:space="0" w:color="auto"/>
                  </w:tcBorders>
                  <w:shd w:val="clear" w:color="auto" w:fill="auto"/>
                  <w:noWrap/>
                  <w:vAlign w:val="bottom"/>
                  <w:hideMark/>
                </w:tcPr>
                <w:p w14:paraId="746839AA"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60%</w:t>
                  </w:r>
                </w:p>
              </w:tc>
              <w:tc>
                <w:tcPr>
                  <w:tcW w:w="1976" w:type="dxa"/>
                  <w:gridSpan w:val="3"/>
                  <w:tcBorders>
                    <w:top w:val="nil"/>
                    <w:left w:val="nil"/>
                    <w:bottom w:val="single" w:sz="4" w:space="0" w:color="auto"/>
                    <w:right w:val="single" w:sz="4" w:space="0" w:color="auto"/>
                  </w:tcBorders>
                  <w:shd w:val="clear" w:color="auto" w:fill="auto"/>
                  <w:noWrap/>
                  <w:vAlign w:val="bottom"/>
                  <w:hideMark/>
                </w:tcPr>
                <w:p w14:paraId="5D791509"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50%</w:t>
                  </w:r>
                </w:p>
              </w:tc>
            </w:tr>
            <w:tr w:rsidR="00030CE4" w:rsidRPr="004876D1" w14:paraId="56904A9F" w14:textId="77777777" w:rsidTr="00030CE4">
              <w:trPr>
                <w:gridAfter w:val="2"/>
                <w:wAfter w:w="1463" w:type="dxa"/>
                <w:trHeight w:val="290"/>
              </w:trPr>
              <w:tc>
                <w:tcPr>
                  <w:tcW w:w="1037" w:type="dxa"/>
                  <w:tcBorders>
                    <w:top w:val="nil"/>
                    <w:left w:val="single" w:sz="4" w:space="0" w:color="auto"/>
                    <w:bottom w:val="nil"/>
                    <w:right w:val="nil"/>
                  </w:tcBorders>
                  <w:shd w:val="clear" w:color="auto" w:fill="auto"/>
                  <w:noWrap/>
                  <w:vAlign w:val="bottom"/>
                  <w:hideMark/>
                </w:tcPr>
                <w:p w14:paraId="7E07CBB8" w14:textId="77777777" w:rsidR="000815E3" w:rsidRPr="004876D1" w:rsidRDefault="000815E3" w:rsidP="000815E3">
                  <w:pPr>
                    <w:rPr>
                      <w:rFonts w:ascii="Calibri" w:hAnsi="Calibri"/>
                      <w:color w:val="000000"/>
                      <w:lang w:eastAsia="en-GB"/>
                    </w:rPr>
                  </w:pPr>
                  <w:r w:rsidRPr="004876D1">
                    <w:rPr>
                      <w:rFonts w:ascii="Calibri" w:hAnsi="Calibri"/>
                      <w:color w:val="000000"/>
                      <w:lang w:eastAsia="en-GB"/>
                    </w:rPr>
                    <w:t>2020-21</w:t>
                  </w:r>
                </w:p>
              </w:tc>
              <w:tc>
                <w:tcPr>
                  <w:tcW w:w="797" w:type="dxa"/>
                  <w:gridSpan w:val="2"/>
                  <w:tcBorders>
                    <w:top w:val="nil"/>
                    <w:left w:val="single" w:sz="4" w:space="0" w:color="auto"/>
                    <w:bottom w:val="nil"/>
                    <w:right w:val="single" w:sz="4" w:space="0" w:color="auto"/>
                  </w:tcBorders>
                  <w:shd w:val="clear" w:color="auto" w:fill="auto"/>
                  <w:noWrap/>
                  <w:vAlign w:val="bottom"/>
                  <w:hideMark/>
                </w:tcPr>
                <w:p w14:paraId="0C1F5A24" w14:textId="77777777" w:rsidR="000815E3" w:rsidRPr="004876D1" w:rsidRDefault="000815E3" w:rsidP="000815E3">
                  <w:pPr>
                    <w:jc w:val="right"/>
                    <w:rPr>
                      <w:rFonts w:ascii="Calibri" w:hAnsi="Calibri"/>
                      <w:color w:val="000000"/>
                      <w:lang w:eastAsia="en-GB"/>
                    </w:rPr>
                  </w:pPr>
                  <w:r w:rsidRPr="004876D1">
                    <w:rPr>
                      <w:rFonts w:ascii="Calibri" w:hAnsi="Calibri"/>
                      <w:color w:val="000000"/>
                      <w:lang w:eastAsia="en-GB"/>
                    </w:rPr>
                    <w:t>73%</w:t>
                  </w:r>
                </w:p>
              </w:tc>
              <w:tc>
                <w:tcPr>
                  <w:tcW w:w="1188" w:type="dxa"/>
                  <w:gridSpan w:val="2"/>
                  <w:tcBorders>
                    <w:top w:val="nil"/>
                    <w:left w:val="nil"/>
                    <w:bottom w:val="nil"/>
                    <w:right w:val="single" w:sz="4" w:space="0" w:color="auto"/>
                  </w:tcBorders>
                  <w:shd w:val="clear" w:color="auto" w:fill="auto"/>
                  <w:noWrap/>
                  <w:vAlign w:val="bottom"/>
                  <w:hideMark/>
                </w:tcPr>
                <w:p w14:paraId="29D1DA24"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66%</w:t>
                  </w:r>
                </w:p>
              </w:tc>
              <w:tc>
                <w:tcPr>
                  <w:tcW w:w="2112" w:type="dxa"/>
                  <w:gridSpan w:val="3"/>
                  <w:tcBorders>
                    <w:top w:val="nil"/>
                    <w:left w:val="nil"/>
                    <w:bottom w:val="nil"/>
                    <w:right w:val="single" w:sz="4" w:space="0" w:color="auto"/>
                  </w:tcBorders>
                  <w:shd w:val="clear" w:color="auto" w:fill="auto"/>
                  <w:noWrap/>
                  <w:vAlign w:val="bottom"/>
                  <w:hideMark/>
                </w:tcPr>
                <w:p w14:paraId="72AA605B"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62%</w:t>
                  </w:r>
                </w:p>
              </w:tc>
              <w:tc>
                <w:tcPr>
                  <w:tcW w:w="1976" w:type="dxa"/>
                  <w:gridSpan w:val="3"/>
                  <w:tcBorders>
                    <w:top w:val="nil"/>
                    <w:left w:val="nil"/>
                    <w:bottom w:val="nil"/>
                    <w:right w:val="single" w:sz="4" w:space="0" w:color="auto"/>
                  </w:tcBorders>
                  <w:shd w:val="clear" w:color="auto" w:fill="auto"/>
                  <w:noWrap/>
                  <w:vAlign w:val="bottom"/>
                  <w:hideMark/>
                </w:tcPr>
                <w:p w14:paraId="0D3F75A1" w14:textId="77777777" w:rsidR="000815E3" w:rsidRPr="004876D1" w:rsidRDefault="000815E3" w:rsidP="00030CE4">
                  <w:pPr>
                    <w:jc w:val="center"/>
                    <w:rPr>
                      <w:rFonts w:ascii="Calibri" w:hAnsi="Calibri"/>
                      <w:color w:val="000000"/>
                      <w:lang w:eastAsia="en-GB"/>
                    </w:rPr>
                  </w:pPr>
                  <w:r w:rsidRPr="004876D1">
                    <w:rPr>
                      <w:rFonts w:ascii="Calibri" w:hAnsi="Calibri"/>
                      <w:color w:val="000000"/>
                      <w:lang w:eastAsia="en-GB"/>
                    </w:rPr>
                    <w:t>63%</w:t>
                  </w:r>
                </w:p>
              </w:tc>
            </w:tr>
            <w:tr w:rsidR="00030CE4" w:rsidRPr="004876D1" w14:paraId="0763BF42" w14:textId="77777777" w:rsidTr="00030CE4">
              <w:trPr>
                <w:gridAfter w:val="2"/>
                <w:wAfter w:w="1463" w:type="dxa"/>
                <w:trHeight w:val="290"/>
              </w:trPr>
              <w:tc>
                <w:tcPr>
                  <w:tcW w:w="1037" w:type="dxa"/>
                  <w:tcBorders>
                    <w:top w:val="single" w:sz="4" w:space="0" w:color="auto"/>
                    <w:left w:val="single" w:sz="4" w:space="0" w:color="auto"/>
                    <w:bottom w:val="single" w:sz="4" w:space="0" w:color="auto"/>
                    <w:right w:val="nil"/>
                  </w:tcBorders>
                  <w:shd w:val="clear" w:color="000000" w:fill="DDEBF7"/>
                  <w:noWrap/>
                  <w:vAlign w:val="bottom"/>
                  <w:hideMark/>
                </w:tcPr>
                <w:p w14:paraId="788BAB3F" w14:textId="77777777" w:rsidR="000815E3" w:rsidRPr="004876D1" w:rsidRDefault="000815E3" w:rsidP="000815E3">
                  <w:pPr>
                    <w:rPr>
                      <w:rFonts w:ascii="Calibri" w:hAnsi="Calibri"/>
                      <w:b/>
                      <w:bCs/>
                      <w:color w:val="000000"/>
                      <w:lang w:eastAsia="en-GB"/>
                    </w:rPr>
                  </w:pPr>
                  <w:r w:rsidRPr="004876D1">
                    <w:rPr>
                      <w:rFonts w:ascii="Calibri" w:hAnsi="Calibri"/>
                      <w:b/>
                      <w:bCs/>
                      <w:color w:val="000000"/>
                      <w:lang w:eastAsia="en-GB"/>
                    </w:rPr>
                    <w:t>Total</w:t>
                  </w:r>
                </w:p>
              </w:tc>
              <w:tc>
                <w:tcPr>
                  <w:tcW w:w="797"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13588E6" w14:textId="77777777" w:rsidR="000815E3" w:rsidRPr="004876D1" w:rsidRDefault="000815E3" w:rsidP="000815E3">
                  <w:pPr>
                    <w:jc w:val="right"/>
                    <w:rPr>
                      <w:rFonts w:ascii="Calibri" w:hAnsi="Calibri"/>
                      <w:b/>
                      <w:bCs/>
                      <w:color w:val="000000"/>
                      <w:lang w:eastAsia="en-GB"/>
                    </w:rPr>
                  </w:pPr>
                  <w:r w:rsidRPr="004876D1">
                    <w:rPr>
                      <w:rFonts w:ascii="Calibri" w:hAnsi="Calibri"/>
                      <w:b/>
                      <w:bCs/>
                      <w:color w:val="000000"/>
                      <w:lang w:eastAsia="en-GB"/>
                    </w:rPr>
                    <w:t>73%</w:t>
                  </w:r>
                </w:p>
              </w:tc>
              <w:tc>
                <w:tcPr>
                  <w:tcW w:w="1188"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1DD1A085" w14:textId="77777777" w:rsidR="000815E3" w:rsidRPr="004876D1" w:rsidRDefault="000815E3" w:rsidP="00030CE4">
                  <w:pPr>
                    <w:jc w:val="center"/>
                    <w:rPr>
                      <w:rFonts w:ascii="Calibri" w:hAnsi="Calibri"/>
                      <w:b/>
                      <w:bCs/>
                      <w:color w:val="000000"/>
                      <w:lang w:eastAsia="en-GB"/>
                    </w:rPr>
                  </w:pPr>
                  <w:r w:rsidRPr="004876D1">
                    <w:rPr>
                      <w:rFonts w:ascii="Calibri" w:hAnsi="Calibri"/>
                      <w:b/>
                      <w:bCs/>
                      <w:color w:val="000000"/>
                      <w:lang w:eastAsia="en-GB"/>
                    </w:rPr>
                    <w:t>63%</w:t>
                  </w:r>
                </w:p>
              </w:tc>
              <w:tc>
                <w:tcPr>
                  <w:tcW w:w="2112" w:type="dxa"/>
                  <w:gridSpan w:val="3"/>
                  <w:tcBorders>
                    <w:top w:val="single" w:sz="4" w:space="0" w:color="auto"/>
                    <w:left w:val="nil"/>
                    <w:bottom w:val="single" w:sz="4" w:space="0" w:color="auto"/>
                    <w:right w:val="single" w:sz="4" w:space="0" w:color="auto"/>
                  </w:tcBorders>
                  <w:shd w:val="clear" w:color="000000" w:fill="DDEBF7"/>
                  <w:noWrap/>
                  <w:vAlign w:val="bottom"/>
                  <w:hideMark/>
                </w:tcPr>
                <w:p w14:paraId="0E07D44E" w14:textId="77777777" w:rsidR="000815E3" w:rsidRPr="004876D1" w:rsidRDefault="000815E3" w:rsidP="00030CE4">
                  <w:pPr>
                    <w:jc w:val="center"/>
                    <w:rPr>
                      <w:rFonts w:ascii="Calibri" w:hAnsi="Calibri"/>
                      <w:b/>
                      <w:bCs/>
                      <w:color w:val="000000"/>
                      <w:lang w:eastAsia="en-GB"/>
                    </w:rPr>
                  </w:pPr>
                  <w:r w:rsidRPr="004876D1">
                    <w:rPr>
                      <w:rFonts w:ascii="Calibri" w:hAnsi="Calibri"/>
                      <w:b/>
                      <w:bCs/>
                      <w:color w:val="000000"/>
                      <w:lang w:eastAsia="en-GB"/>
                    </w:rPr>
                    <w:t>59%</w:t>
                  </w:r>
                </w:p>
              </w:tc>
              <w:tc>
                <w:tcPr>
                  <w:tcW w:w="1976" w:type="dxa"/>
                  <w:gridSpan w:val="3"/>
                  <w:tcBorders>
                    <w:top w:val="single" w:sz="4" w:space="0" w:color="auto"/>
                    <w:left w:val="nil"/>
                    <w:bottom w:val="single" w:sz="4" w:space="0" w:color="auto"/>
                    <w:right w:val="single" w:sz="4" w:space="0" w:color="auto"/>
                  </w:tcBorders>
                  <w:shd w:val="clear" w:color="000000" w:fill="DDEBF7"/>
                  <w:noWrap/>
                  <w:vAlign w:val="bottom"/>
                  <w:hideMark/>
                </w:tcPr>
                <w:p w14:paraId="5D685A79" w14:textId="77777777" w:rsidR="000815E3" w:rsidRPr="004876D1" w:rsidRDefault="000815E3" w:rsidP="00030CE4">
                  <w:pPr>
                    <w:jc w:val="center"/>
                    <w:rPr>
                      <w:rFonts w:ascii="Calibri" w:hAnsi="Calibri"/>
                      <w:b/>
                      <w:bCs/>
                      <w:color w:val="000000"/>
                      <w:lang w:eastAsia="en-GB"/>
                    </w:rPr>
                  </w:pPr>
                  <w:r w:rsidRPr="004876D1">
                    <w:rPr>
                      <w:rFonts w:ascii="Calibri" w:hAnsi="Calibri"/>
                      <w:b/>
                      <w:bCs/>
                      <w:color w:val="000000"/>
                      <w:lang w:eastAsia="en-GB"/>
                    </w:rPr>
                    <w:t>58%</w:t>
                  </w:r>
                </w:p>
              </w:tc>
            </w:tr>
            <w:tr w:rsidR="000815E3" w:rsidRPr="004876D1" w14:paraId="3FB1FE92" w14:textId="77777777" w:rsidTr="00030CE4">
              <w:trPr>
                <w:gridAfter w:val="2"/>
                <w:wAfter w:w="1463" w:type="dxa"/>
                <w:trHeight w:val="290"/>
              </w:trPr>
              <w:tc>
                <w:tcPr>
                  <w:tcW w:w="7110" w:type="dxa"/>
                  <w:gridSpan w:val="11"/>
                  <w:tcBorders>
                    <w:top w:val="nil"/>
                    <w:left w:val="nil"/>
                    <w:bottom w:val="nil"/>
                    <w:right w:val="nil"/>
                  </w:tcBorders>
                  <w:shd w:val="clear" w:color="auto" w:fill="auto"/>
                  <w:noWrap/>
                  <w:vAlign w:val="bottom"/>
                  <w:hideMark/>
                </w:tcPr>
                <w:p w14:paraId="18ACFEA7" w14:textId="77777777" w:rsidR="000815E3" w:rsidRPr="004876D1" w:rsidRDefault="000815E3" w:rsidP="000815E3">
                  <w:pPr>
                    <w:rPr>
                      <w:rFonts w:ascii="Calibri" w:hAnsi="Calibri"/>
                      <w:b/>
                      <w:bCs/>
                      <w:i/>
                      <w:iCs/>
                      <w:color w:val="000000"/>
                      <w:sz w:val="20"/>
                      <w:lang w:eastAsia="en-GB"/>
                    </w:rPr>
                  </w:pPr>
                  <w:r w:rsidRPr="004876D1">
                    <w:rPr>
                      <w:rFonts w:ascii="Calibri" w:hAnsi="Calibri"/>
                      <w:b/>
                      <w:bCs/>
                      <w:i/>
                      <w:iCs/>
                      <w:color w:val="000000"/>
                      <w:sz w:val="20"/>
                      <w:lang w:eastAsia="en-GB"/>
                    </w:rPr>
                    <w:t>Note:  Figures Exclude EDO's and UNI's (includes Councils) and those projects where the location is yet to be determined.</w:t>
                  </w:r>
                </w:p>
              </w:tc>
            </w:tr>
          </w:tbl>
          <w:p w14:paraId="2A7FFFD5" w14:textId="77777777" w:rsidR="000815E3" w:rsidRDefault="000815E3" w:rsidP="000815E3"/>
          <w:p w14:paraId="3A009011" w14:textId="4774C82E" w:rsidR="00EC66D1" w:rsidRDefault="00EC66D1" w:rsidP="006A3A64">
            <w:pPr>
              <w:spacing w:after="120"/>
            </w:pPr>
            <w:r>
              <w:t xml:space="preserve">Over the last </w:t>
            </w:r>
            <w:r w:rsidR="004E794C">
              <w:t>five</w:t>
            </w:r>
            <w:r>
              <w:t xml:space="preserve"> years 37% of assistance offered, 41% of total planned investment and 42% of new jobs assisted were within the Eastern Regional Office Area.  This area had the highest assistance per head of Adult Population £774, which is well above the NI total of £384 per head.</w:t>
            </w:r>
          </w:p>
          <w:p w14:paraId="1B03C63A" w14:textId="32FCC46D" w:rsidR="00EC66D1" w:rsidRDefault="00EC66D1" w:rsidP="006A3A64">
            <w:pPr>
              <w:spacing w:after="120"/>
            </w:pPr>
            <w:r>
              <w:t>Companies in the Western region received 22% of total assistance offered and 21% of both total planned Investment and new jobs assisted.  The assistance per head was £332, which is below the NI total of £384 per head.</w:t>
            </w:r>
          </w:p>
          <w:p w14:paraId="58CC6C0E" w14:textId="7C32A4D7" w:rsidR="00EC66D1" w:rsidRDefault="00EC66D1" w:rsidP="006A3A64">
            <w:pPr>
              <w:spacing w:after="120"/>
            </w:pPr>
            <w:r>
              <w:t>The North West region received 12% of assistance offered over the period, 13% of total planned investment and 14% of new jobs assisted.  The assistance per head was £305, which is below the NI of £384 per head.</w:t>
            </w:r>
          </w:p>
          <w:p w14:paraId="617078A1" w14:textId="4BADD5F7" w:rsidR="00EC66D1" w:rsidRDefault="00EC66D1" w:rsidP="006A3A64">
            <w:pPr>
              <w:spacing w:after="120"/>
            </w:pPr>
            <w:r>
              <w:t>The Southern region received 16% of assistance offered, total planned investment and new jobs assisted.  The assistance per head was £242, which is below the NI figure of £384.</w:t>
            </w:r>
          </w:p>
          <w:p w14:paraId="5F612277" w14:textId="784215C0" w:rsidR="00EC66D1" w:rsidRDefault="00EC66D1" w:rsidP="006A3A64">
            <w:pPr>
              <w:spacing w:after="120"/>
            </w:pPr>
            <w:r>
              <w:t>Companies in the North East region received 13% of assistance offered, 10% of total planned investment and 6% of new jobs assisted.  The assistance per head was £321</w:t>
            </w:r>
            <w:r w:rsidR="00030CE4">
              <w:t>.</w:t>
            </w:r>
          </w:p>
          <w:p w14:paraId="2632D5E2" w14:textId="77777777" w:rsidR="00030CE4" w:rsidRPr="0025604E" w:rsidRDefault="00030CE4" w:rsidP="0025604E"/>
          <w:tbl>
            <w:tblPr>
              <w:tblW w:w="8309" w:type="dxa"/>
              <w:tblLook w:val="04A0" w:firstRow="1" w:lastRow="0" w:firstColumn="1" w:lastColumn="0" w:noHBand="0" w:noVBand="1"/>
            </w:tblPr>
            <w:tblGrid>
              <w:gridCol w:w="1337"/>
              <w:gridCol w:w="1106"/>
              <w:gridCol w:w="1040"/>
              <w:gridCol w:w="1112"/>
              <w:gridCol w:w="746"/>
              <w:gridCol w:w="1040"/>
              <w:gridCol w:w="1112"/>
              <w:gridCol w:w="666"/>
            </w:tblGrid>
            <w:tr w:rsidR="00EC66D1" w:rsidRPr="003049E1" w14:paraId="02F265A4" w14:textId="77777777" w:rsidTr="006A3A64">
              <w:trPr>
                <w:trHeight w:val="290"/>
              </w:trPr>
              <w:tc>
                <w:tcPr>
                  <w:tcW w:w="6511" w:type="dxa"/>
                  <w:gridSpan w:val="6"/>
                  <w:tcBorders>
                    <w:top w:val="nil"/>
                    <w:left w:val="nil"/>
                    <w:bottom w:val="nil"/>
                    <w:right w:val="nil"/>
                  </w:tcBorders>
                  <w:shd w:val="clear" w:color="auto" w:fill="auto"/>
                  <w:noWrap/>
                  <w:vAlign w:val="bottom"/>
                  <w:hideMark/>
                </w:tcPr>
                <w:p w14:paraId="2C74198E" w14:textId="77777777" w:rsidR="00EC66D1" w:rsidRPr="003049E1" w:rsidRDefault="00EC66D1" w:rsidP="00EC66D1">
                  <w:pPr>
                    <w:rPr>
                      <w:rFonts w:ascii="Calibri" w:hAnsi="Calibri"/>
                      <w:b/>
                      <w:bCs/>
                      <w:color w:val="000000"/>
                      <w:lang w:eastAsia="en-GB"/>
                    </w:rPr>
                  </w:pPr>
                  <w:r w:rsidRPr="003049E1">
                    <w:rPr>
                      <w:rFonts w:ascii="Calibri" w:hAnsi="Calibri"/>
                      <w:b/>
                      <w:bCs/>
                      <w:color w:val="000000"/>
                      <w:lang w:eastAsia="en-GB"/>
                    </w:rPr>
                    <w:t>Invest NI Activity by Region Per Head of Adult Population 2016-17 to 2020-21</w:t>
                  </w:r>
                </w:p>
              </w:tc>
              <w:tc>
                <w:tcPr>
                  <w:tcW w:w="1107" w:type="dxa"/>
                  <w:tcBorders>
                    <w:top w:val="nil"/>
                    <w:left w:val="nil"/>
                    <w:bottom w:val="nil"/>
                    <w:right w:val="nil"/>
                  </w:tcBorders>
                  <w:shd w:val="clear" w:color="auto" w:fill="auto"/>
                  <w:noWrap/>
                  <w:vAlign w:val="bottom"/>
                  <w:hideMark/>
                </w:tcPr>
                <w:p w14:paraId="7D052CC1" w14:textId="77777777" w:rsidR="00EC66D1" w:rsidRPr="003049E1" w:rsidRDefault="00EC66D1" w:rsidP="00EC66D1">
                  <w:pPr>
                    <w:rPr>
                      <w:rFonts w:ascii="Calibri" w:hAnsi="Calibri"/>
                      <w:b/>
                      <w:bCs/>
                      <w:color w:val="000000"/>
                      <w:lang w:eastAsia="en-GB"/>
                    </w:rPr>
                  </w:pPr>
                </w:p>
              </w:tc>
              <w:tc>
                <w:tcPr>
                  <w:tcW w:w="691" w:type="dxa"/>
                  <w:tcBorders>
                    <w:top w:val="nil"/>
                    <w:left w:val="nil"/>
                    <w:bottom w:val="nil"/>
                    <w:right w:val="nil"/>
                  </w:tcBorders>
                  <w:shd w:val="clear" w:color="auto" w:fill="auto"/>
                  <w:noWrap/>
                  <w:vAlign w:val="bottom"/>
                  <w:hideMark/>
                </w:tcPr>
                <w:p w14:paraId="4A92F5F4" w14:textId="77777777" w:rsidR="00EC66D1" w:rsidRPr="003049E1" w:rsidRDefault="00EC66D1" w:rsidP="00EC66D1">
                  <w:pPr>
                    <w:rPr>
                      <w:rFonts w:ascii="Times New Roman" w:hAnsi="Times New Roman"/>
                      <w:sz w:val="20"/>
                      <w:lang w:eastAsia="en-GB"/>
                    </w:rPr>
                  </w:pPr>
                </w:p>
              </w:tc>
            </w:tr>
            <w:tr w:rsidR="00030CE4" w:rsidRPr="003049E1" w14:paraId="58C0FA12" w14:textId="77777777" w:rsidTr="006A3A64">
              <w:trPr>
                <w:trHeight w:val="870"/>
              </w:trPr>
              <w:tc>
                <w:tcPr>
                  <w:tcW w:w="1400"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2831E972" w14:textId="77777777" w:rsidR="00EC66D1" w:rsidRPr="00030CE4" w:rsidRDefault="00EC66D1" w:rsidP="00EC66D1">
                  <w:pPr>
                    <w:rPr>
                      <w:rFonts w:ascii="Calibri" w:hAnsi="Calibri"/>
                      <w:b/>
                      <w:bCs/>
                      <w:color w:val="000000"/>
                      <w:sz w:val="20"/>
                      <w:lang w:eastAsia="en-GB"/>
                    </w:rPr>
                  </w:pPr>
                  <w:r w:rsidRPr="00030CE4">
                    <w:rPr>
                      <w:rFonts w:ascii="Calibri" w:hAnsi="Calibri"/>
                      <w:b/>
                      <w:bCs/>
                      <w:color w:val="000000"/>
                      <w:sz w:val="20"/>
                      <w:lang w:eastAsia="en-GB"/>
                    </w:rPr>
                    <w:t xml:space="preserve"> Region </w:t>
                  </w:r>
                </w:p>
              </w:tc>
              <w:tc>
                <w:tcPr>
                  <w:tcW w:w="1156" w:type="dxa"/>
                  <w:tcBorders>
                    <w:top w:val="single" w:sz="4" w:space="0" w:color="auto"/>
                    <w:left w:val="nil"/>
                    <w:bottom w:val="single" w:sz="4" w:space="0" w:color="auto"/>
                    <w:right w:val="single" w:sz="4" w:space="0" w:color="auto"/>
                  </w:tcBorders>
                  <w:shd w:val="clear" w:color="000000" w:fill="DDEBF7"/>
                  <w:vAlign w:val="bottom"/>
                  <w:hideMark/>
                </w:tcPr>
                <w:p w14:paraId="1DD57BFB" w14:textId="77777777" w:rsidR="00EC66D1" w:rsidRPr="00030CE4" w:rsidRDefault="00EC66D1" w:rsidP="00EC66D1">
                  <w:pPr>
                    <w:rPr>
                      <w:rFonts w:ascii="Calibri" w:hAnsi="Calibri"/>
                      <w:b/>
                      <w:bCs/>
                      <w:color w:val="000000"/>
                      <w:sz w:val="20"/>
                      <w:lang w:eastAsia="en-GB"/>
                    </w:rPr>
                  </w:pPr>
                  <w:r w:rsidRPr="00030CE4">
                    <w:rPr>
                      <w:rFonts w:ascii="Calibri" w:hAnsi="Calibri"/>
                      <w:b/>
                      <w:bCs/>
                      <w:color w:val="000000"/>
                      <w:sz w:val="20"/>
                      <w:lang w:eastAsia="en-GB"/>
                    </w:rPr>
                    <w:t xml:space="preserve"> Adult Population 2020 </w:t>
                  </w:r>
                </w:p>
              </w:tc>
              <w:tc>
                <w:tcPr>
                  <w:tcW w:w="1036" w:type="dxa"/>
                  <w:tcBorders>
                    <w:top w:val="single" w:sz="4" w:space="0" w:color="auto"/>
                    <w:left w:val="nil"/>
                    <w:bottom w:val="single" w:sz="4" w:space="0" w:color="auto"/>
                    <w:right w:val="single" w:sz="4" w:space="0" w:color="auto"/>
                  </w:tcBorders>
                  <w:shd w:val="clear" w:color="000000" w:fill="DDEBF7"/>
                  <w:vAlign w:val="bottom"/>
                  <w:hideMark/>
                </w:tcPr>
                <w:p w14:paraId="22021431" w14:textId="77777777" w:rsidR="00EC66D1" w:rsidRPr="00030CE4" w:rsidRDefault="00EC66D1" w:rsidP="00EC66D1">
                  <w:pPr>
                    <w:rPr>
                      <w:rFonts w:ascii="Calibri" w:hAnsi="Calibri"/>
                      <w:b/>
                      <w:bCs/>
                      <w:color w:val="000000"/>
                      <w:sz w:val="20"/>
                      <w:lang w:eastAsia="en-GB"/>
                    </w:rPr>
                  </w:pPr>
                  <w:r w:rsidRPr="00030CE4">
                    <w:rPr>
                      <w:rFonts w:ascii="Calibri" w:hAnsi="Calibri"/>
                      <w:b/>
                      <w:bCs/>
                      <w:color w:val="000000"/>
                      <w:sz w:val="20"/>
                      <w:lang w:eastAsia="en-GB"/>
                    </w:rPr>
                    <w:t xml:space="preserve"> Assistance Per Head </w:t>
                  </w:r>
                </w:p>
              </w:tc>
              <w:tc>
                <w:tcPr>
                  <w:tcW w:w="1107" w:type="dxa"/>
                  <w:tcBorders>
                    <w:top w:val="single" w:sz="4" w:space="0" w:color="auto"/>
                    <w:left w:val="nil"/>
                    <w:bottom w:val="single" w:sz="4" w:space="0" w:color="auto"/>
                    <w:right w:val="single" w:sz="4" w:space="0" w:color="auto"/>
                  </w:tcBorders>
                  <w:shd w:val="clear" w:color="000000" w:fill="DDEBF7"/>
                  <w:vAlign w:val="bottom"/>
                  <w:hideMark/>
                </w:tcPr>
                <w:p w14:paraId="44CD64A2" w14:textId="77777777" w:rsidR="00EC66D1" w:rsidRPr="00030CE4" w:rsidRDefault="00EC66D1" w:rsidP="00EC66D1">
                  <w:pPr>
                    <w:rPr>
                      <w:rFonts w:ascii="Calibri" w:hAnsi="Calibri"/>
                      <w:b/>
                      <w:bCs/>
                      <w:color w:val="000000"/>
                      <w:sz w:val="20"/>
                      <w:lang w:eastAsia="en-GB"/>
                    </w:rPr>
                  </w:pPr>
                  <w:r w:rsidRPr="00030CE4">
                    <w:rPr>
                      <w:rFonts w:ascii="Calibri" w:hAnsi="Calibri"/>
                      <w:b/>
                      <w:bCs/>
                      <w:color w:val="000000"/>
                      <w:sz w:val="20"/>
                      <w:lang w:eastAsia="en-GB"/>
                    </w:rPr>
                    <w:t xml:space="preserve"> Investment Per Head </w:t>
                  </w:r>
                </w:p>
              </w:tc>
              <w:tc>
                <w:tcPr>
                  <w:tcW w:w="776" w:type="dxa"/>
                  <w:tcBorders>
                    <w:top w:val="single" w:sz="4" w:space="0" w:color="auto"/>
                    <w:left w:val="nil"/>
                    <w:bottom w:val="single" w:sz="4" w:space="0" w:color="auto"/>
                    <w:right w:val="single" w:sz="4" w:space="0" w:color="auto"/>
                  </w:tcBorders>
                  <w:shd w:val="clear" w:color="000000" w:fill="DDEBF7"/>
                  <w:vAlign w:val="bottom"/>
                  <w:hideMark/>
                </w:tcPr>
                <w:p w14:paraId="169A639C" w14:textId="77777777" w:rsidR="00EC66D1" w:rsidRPr="00030CE4" w:rsidRDefault="00EC66D1" w:rsidP="00EC66D1">
                  <w:pPr>
                    <w:rPr>
                      <w:rFonts w:ascii="Calibri" w:hAnsi="Calibri"/>
                      <w:b/>
                      <w:bCs/>
                      <w:color w:val="000000"/>
                      <w:sz w:val="20"/>
                      <w:lang w:eastAsia="en-GB"/>
                    </w:rPr>
                  </w:pPr>
                  <w:r w:rsidRPr="00030CE4">
                    <w:rPr>
                      <w:rFonts w:ascii="Calibri" w:hAnsi="Calibri"/>
                      <w:b/>
                      <w:bCs/>
                      <w:color w:val="000000"/>
                      <w:sz w:val="20"/>
                      <w:lang w:eastAsia="en-GB"/>
                    </w:rPr>
                    <w:t xml:space="preserve"> New Jobs Per 10,000 </w:t>
                  </w:r>
                </w:p>
              </w:tc>
              <w:tc>
                <w:tcPr>
                  <w:tcW w:w="1036" w:type="dxa"/>
                  <w:tcBorders>
                    <w:top w:val="single" w:sz="4" w:space="0" w:color="auto"/>
                    <w:left w:val="nil"/>
                    <w:bottom w:val="single" w:sz="4" w:space="0" w:color="auto"/>
                    <w:right w:val="single" w:sz="4" w:space="0" w:color="auto"/>
                  </w:tcBorders>
                  <w:shd w:val="clear" w:color="000000" w:fill="DDEBF7"/>
                  <w:vAlign w:val="bottom"/>
                  <w:hideMark/>
                </w:tcPr>
                <w:p w14:paraId="3BEC1976" w14:textId="77777777" w:rsidR="00EC66D1" w:rsidRPr="00030CE4" w:rsidRDefault="00EC66D1" w:rsidP="00EC66D1">
                  <w:pPr>
                    <w:rPr>
                      <w:rFonts w:ascii="Calibri" w:hAnsi="Calibri"/>
                      <w:b/>
                      <w:bCs/>
                      <w:color w:val="000000"/>
                      <w:sz w:val="20"/>
                      <w:lang w:eastAsia="en-GB"/>
                    </w:rPr>
                  </w:pPr>
                  <w:r w:rsidRPr="00030CE4">
                    <w:rPr>
                      <w:rFonts w:ascii="Calibri" w:hAnsi="Calibri"/>
                      <w:b/>
                      <w:bCs/>
                      <w:color w:val="000000"/>
                      <w:sz w:val="20"/>
                      <w:lang w:eastAsia="en-GB"/>
                    </w:rPr>
                    <w:t xml:space="preserve"> Assistance Rank </w:t>
                  </w:r>
                </w:p>
              </w:tc>
              <w:tc>
                <w:tcPr>
                  <w:tcW w:w="1107" w:type="dxa"/>
                  <w:tcBorders>
                    <w:top w:val="single" w:sz="4" w:space="0" w:color="auto"/>
                    <w:left w:val="nil"/>
                    <w:bottom w:val="single" w:sz="4" w:space="0" w:color="auto"/>
                    <w:right w:val="single" w:sz="4" w:space="0" w:color="auto"/>
                  </w:tcBorders>
                  <w:shd w:val="clear" w:color="000000" w:fill="DDEBF7"/>
                  <w:vAlign w:val="bottom"/>
                  <w:hideMark/>
                </w:tcPr>
                <w:p w14:paraId="6B9989C6" w14:textId="77777777" w:rsidR="00EC66D1" w:rsidRPr="00030CE4" w:rsidRDefault="00EC66D1" w:rsidP="00EC66D1">
                  <w:pPr>
                    <w:rPr>
                      <w:rFonts w:ascii="Calibri" w:hAnsi="Calibri"/>
                      <w:b/>
                      <w:bCs/>
                      <w:color w:val="000000"/>
                      <w:sz w:val="20"/>
                      <w:lang w:eastAsia="en-GB"/>
                    </w:rPr>
                  </w:pPr>
                  <w:r w:rsidRPr="00030CE4">
                    <w:rPr>
                      <w:rFonts w:ascii="Calibri" w:hAnsi="Calibri"/>
                      <w:b/>
                      <w:bCs/>
                      <w:color w:val="000000"/>
                      <w:sz w:val="20"/>
                      <w:lang w:eastAsia="en-GB"/>
                    </w:rPr>
                    <w:t xml:space="preserve"> Investment Rank </w:t>
                  </w:r>
                </w:p>
              </w:tc>
              <w:tc>
                <w:tcPr>
                  <w:tcW w:w="691" w:type="dxa"/>
                  <w:tcBorders>
                    <w:top w:val="single" w:sz="4" w:space="0" w:color="auto"/>
                    <w:left w:val="nil"/>
                    <w:bottom w:val="single" w:sz="4" w:space="0" w:color="auto"/>
                    <w:right w:val="single" w:sz="4" w:space="0" w:color="auto"/>
                  </w:tcBorders>
                  <w:shd w:val="clear" w:color="000000" w:fill="DDEBF7"/>
                  <w:vAlign w:val="bottom"/>
                  <w:hideMark/>
                </w:tcPr>
                <w:p w14:paraId="7C475CD3" w14:textId="77777777" w:rsidR="00EC66D1" w:rsidRPr="00030CE4" w:rsidRDefault="00EC66D1" w:rsidP="00EC66D1">
                  <w:pPr>
                    <w:rPr>
                      <w:rFonts w:ascii="Calibri" w:hAnsi="Calibri"/>
                      <w:b/>
                      <w:bCs/>
                      <w:color w:val="000000"/>
                      <w:sz w:val="20"/>
                      <w:lang w:eastAsia="en-GB"/>
                    </w:rPr>
                  </w:pPr>
                  <w:r w:rsidRPr="00030CE4">
                    <w:rPr>
                      <w:rFonts w:ascii="Calibri" w:hAnsi="Calibri"/>
                      <w:b/>
                      <w:bCs/>
                      <w:color w:val="000000"/>
                      <w:sz w:val="20"/>
                      <w:lang w:eastAsia="en-GB"/>
                    </w:rPr>
                    <w:t xml:space="preserve"> Jobs Rank </w:t>
                  </w:r>
                </w:p>
              </w:tc>
            </w:tr>
            <w:tr w:rsidR="00030CE4" w:rsidRPr="003049E1" w14:paraId="78156821" w14:textId="77777777" w:rsidTr="006A3A64">
              <w:trPr>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E466245" w14:textId="77777777" w:rsidR="00EC66D1" w:rsidRPr="003049E1" w:rsidRDefault="00EC66D1" w:rsidP="00EC66D1">
                  <w:pPr>
                    <w:rPr>
                      <w:rFonts w:ascii="Calibri" w:hAnsi="Calibri"/>
                      <w:color w:val="000000"/>
                      <w:lang w:eastAsia="en-GB"/>
                    </w:rPr>
                  </w:pPr>
                  <w:r w:rsidRPr="003049E1">
                    <w:rPr>
                      <w:rFonts w:ascii="Calibri" w:hAnsi="Calibri"/>
                      <w:color w:val="000000"/>
                      <w:lang w:eastAsia="en-GB"/>
                    </w:rPr>
                    <w:t>East</w:t>
                  </w:r>
                </w:p>
              </w:tc>
              <w:tc>
                <w:tcPr>
                  <w:tcW w:w="1156" w:type="dxa"/>
                  <w:tcBorders>
                    <w:top w:val="nil"/>
                    <w:left w:val="nil"/>
                    <w:bottom w:val="single" w:sz="4" w:space="0" w:color="auto"/>
                    <w:right w:val="single" w:sz="4" w:space="0" w:color="auto"/>
                  </w:tcBorders>
                  <w:shd w:val="clear" w:color="auto" w:fill="auto"/>
                  <w:noWrap/>
                  <w:vAlign w:val="bottom"/>
                  <w:hideMark/>
                </w:tcPr>
                <w:p w14:paraId="6D34FA2F"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274,369</w:t>
                  </w:r>
                </w:p>
              </w:tc>
              <w:tc>
                <w:tcPr>
                  <w:tcW w:w="1036" w:type="dxa"/>
                  <w:tcBorders>
                    <w:top w:val="nil"/>
                    <w:left w:val="nil"/>
                    <w:bottom w:val="single" w:sz="4" w:space="0" w:color="auto"/>
                    <w:right w:val="single" w:sz="4" w:space="0" w:color="auto"/>
                  </w:tcBorders>
                  <w:shd w:val="clear" w:color="auto" w:fill="auto"/>
                  <w:noWrap/>
                  <w:vAlign w:val="bottom"/>
                  <w:hideMark/>
                </w:tcPr>
                <w:p w14:paraId="246EC680"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774</w:t>
                  </w:r>
                </w:p>
              </w:tc>
              <w:tc>
                <w:tcPr>
                  <w:tcW w:w="1107" w:type="dxa"/>
                  <w:tcBorders>
                    <w:top w:val="nil"/>
                    <w:left w:val="nil"/>
                    <w:bottom w:val="single" w:sz="4" w:space="0" w:color="auto"/>
                    <w:right w:val="single" w:sz="4" w:space="0" w:color="auto"/>
                  </w:tcBorders>
                  <w:shd w:val="clear" w:color="auto" w:fill="auto"/>
                  <w:noWrap/>
                  <w:vAlign w:val="bottom"/>
                  <w:hideMark/>
                </w:tcPr>
                <w:p w14:paraId="48C1E5DB"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4,481</w:t>
                  </w:r>
                </w:p>
              </w:tc>
              <w:tc>
                <w:tcPr>
                  <w:tcW w:w="776" w:type="dxa"/>
                  <w:tcBorders>
                    <w:top w:val="nil"/>
                    <w:left w:val="nil"/>
                    <w:bottom w:val="single" w:sz="4" w:space="0" w:color="auto"/>
                    <w:right w:val="single" w:sz="4" w:space="0" w:color="auto"/>
                  </w:tcBorders>
                  <w:shd w:val="clear" w:color="auto" w:fill="auto"/>
                  <w:noWrap/>
                  <w:vAlign w:val="bottom"/>
                  <w:hideMark/>
                </w:tcPr>
                <w:p w14:paraId="519BD5BA"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361</w:t>
                  </w:r>
                </w:p>
              </w:tc>
              <w:tc>
                <w:tcPr>
                  <w:tcW w:w="1036" w:type="dxa"/>
                  <w:tcBorders>
                    <w:top w:val="nil"/>
                    <w:left w:val="nil"/>
                    <w:bottom w:val="single" w:sz="4" w:space="0" w:color="auto"/>
                    <w:right w:val="single" w:sz="4" w:space="0" w:color="auto"/>
                  </w:tcBorders>
                  <w:shd w:val="clear" w:color="auto" w:fill="auto"/>
                  <w:noWrap/>
                  <w:vAlign w:val="bottom"/>
                  <w:hideMark/>
                </w:tcPr>
                <w:p w14:paraId="6263323C"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1</w:t>
                  </w:r>
                </w:p>
              </w:tc>
              <w:tc>
                <w:tcPr>
                  <w:tcW w:w="1107" w:type="dxa"/>
                  <w:tcBorders>
                    <w:top w:val="nil"/>
                    <w:left w:val="nil"/>
                    <w:bottom w:val="single" w:sz="4" w:space="0" w:color="auto"/>
                    <w:right w:val="single" w:sz="4" w:space="0" w:color="auto"/>
                  </w:tcBorders>
                  <w:shd w:val="clear" w:color="auto" w:fill="auto"/>
                  <w:noWrap/>
                  <w:vAlign w:val="bottom"/>
                  <w:hideMark/>
                </w:tcPr>
                <w:p w14:paraId="128B16B2"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1</w:t>
                  </w:r>
                </w:p>
              </w:tc>
              <w:tc>
                <w:tcPr>
                  <w:tcW w:w="691" w:type="dxa"/>
                  <w:tcBorders>
                    <w:top w:val="nil"/>
                    <w:left w:val="nil"/>
                    <w:bottom w:val="single" w:sz="4" w:space="0" w:color="auto"/>
                    <w:right w:val="single" w:sz="4" w:space="0" w:color="auto"/>
                  </w:tcBorders>
                  <w:shd w:val="clear" w:color="auto" w:fill="auto"/>
                  <w:noWrap/>
                  <w:vAlign w:val="bottom"/>
                  <w:hideMark/>
                </w:tcPr>
                <w:p w14:paraId="7CF2578B"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1</w:t>
                  </w:r>
                </w:p>
              </w:tc>
            </w:tr>
            <w:tr w:rsidR="00030CE4" w:rsidRPr="003049E1" w14:paraId="558BCAF3" w14:textId="77777777" w:rsidTr="006A3A64">
              <w:trPr>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848A4E9" w14:textId="77777777" w:rsidR="00EC66D1" w:rsidRPr="003049E1" w:rsidRDefault="00EC66D1" w:rsidP="00EC66D1">
                  <w:pPr>
                    <w:rPr>
                      <w:rFonts w:ascii="Calibri" w:hAnsi="Calibri"/>
                      <w:color w:val="000000"/>
                      <w:lang w:eastAsia="en-GB"/>
                    </w:rPr>
                  </w:pPr>
                  <w:r w:rsidRPr="003049E1">
                    <w:rPr>
                      <w:rFonts w:ascii="Calibri" w:hAnsi="Calibri"/>
                      <w:color w:val="000000"/>
                      <w:lang w:eastAsia="en-GB"/>
                    </w:rPr>
                    <w:t>North East</w:t>
                  </w:r>
                </w:p>
              </w:tc>
              <w:tc>
                <w:tcPr>
                  <w:tcW w:w="1156" w:type="dxa"/>
                  <w:tcBorders>
                    <w:top w:val="nil"/>
                    <w:left w:val="nil"/>
                    <w:bottom w:val="single" w:sz="4" w:space="0" w:color="auto"/>
                    <w:right w:val="single" w:sz="4" w:space="0" w:color="auto"/>
                  </w:tcBorders>
                  <w:shd w:val="clear" w:color="auto" w:fill="auto"/>
                  <w:noWrap/>
                  <w:vAlign w:val="bottom"/>
                  <w:hideMark/>
                </w:tcPr>
                <w:p w14:paraId="45EB6047"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226,534</w:t>
                  </w:r>
                </w:p>
              </w:tc>
              <w:tc>
                <w:tcPr>
                  <w:tcW w:w="1036" w:type="dxa"/>
                  <w:tcBorders>
                    <w:top w:val="nil"/>
                    <w:left w:val="nil"/>
                    <w:bottom w:val="single" w:sz="4" w:space="0" w:color="auto"/>
                    <w:right w:val="single" w:sz="4" w:space="0" w:color="auto"/>
                  </w:tcBorders>
                  <w:shd w:val="clear" w:color="auto" w:fill="auto"/>
                  <w:noWrap/>
                  <w:vAlign w:val="bottom"/>
                  <w:hideMark/>
                </w:tcPr>
                <w:p w14:paraId="71D95144"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321</w:t>
                  </w:r>
                </w:p>
              </w:tc>
              <w:tc>
                <w:tcPr>
                  <w:tcW w:w="1107" w:type="dxa"/>
                  <w:tcBorders>
                    <w:top w:val="nil"/>
                    <w:left w:val="nil"/>
                    <w:bottom w:val="single" w:sz="4" w:space="0" w:color="auto"/>
                    <w:right w:val="single" w:sz="4" w:space="0" w:color="auto"/>
                  </w:tcBorders>
                  <w:shd w:val="clear" w:color="auto" w:fill="auto"/>
                  <w:noWrap/>
                  <w:vAlign w:val="bottom"/>
                  <w:hideMark/>
                </w:tcPr>
                <w:p w14:paraId="390F96DD"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1,269</w:t>
                  </w:r>
                </w:p>
              </w:tc>
              <w:tc>
                <w:tcPr>
                  <w:tcW w:w="776" w:type="dxa"/>
                  <w:tcBorders>
                    <w:top w:val="nil"/>
                    <w:left w:val="nil"/>
                    <w:bottom w:val="single" w:sz="4" w:space="0" w:color="auto"/>
                    <w:right w:val="single" w:sz="4" w:space="0" w:color="auto"/>
                  </w:tcBorders>
                  <w:shd w:val="clear" w:color="auto" w:fill="auto"/>
                  <w:noWrap/>
                  <w:vAlign w:val="bottom"/>
                  <w:hideMark/>
                </w:tcPr>
                <w:p w14:paraId="261B6B30"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64</w:t>
                  </w:r>
                </w:p>
              </w:tc>
              <w:tc>
                <w:tcPr>
                  <w:tcW w:w="1036" w:type="dxa"/>
                  <w:tcBorders>
                    <w:top w:val="nil"/>
                    <w:left w:val="nil"/>
                    <w:bottom w:val="single" w:sz="4" w:space="0" w:color="auto"/>
                    <w:right w:val="single" w:sz="4" w:space="0" w:color="auto"/>
                  </w:tcBorders>
                  <w:shd w:val="clear" w:color="auto" w:fill="auto"/>
                  <w:noWrap/>
                  <w:vAlign w:val="bottom"/>
                  <w:hideMark/>
                </w:tcPr>
                <w:p w14:paraId="04EBCE2F"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3</w:t>
                  </w:r>
                </w:p>
              </w:tc>
              <w:tc>
                <w:tcPr>
                  <w:tcW w:w="1107" w:type="dxa"/>
                  <w:tcBorders>
                    <w:top w:val="nil"/>
                    <w:left w:val="nil"/>
                    <w:bottom w:val="single" w:sz="4" w:space="0" w:color="auto"/>
                    <w:right w:val="single" w:sz="4" w:space="0" w:color="auto"/>
                  </w:tcBorders>
                  <w:shd w:val="clear" w:color="auto" w:fill="auto"/>
                  <w:noWrap/>
                  <w:vAlign w:val="bottom"/>
                  <w:hideMark/>
                </w:tcPr>
                <w:p w14:paraId="655187F6"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4</w:t>
                  </w:r>
                </w:p>
              </w:tc>
              <w:tc>
                <w:tcPr>
                  <w:tcW w:w="691" w:type="dxa"/>
                  <w:tcBorders>
                    <w:top w:val="nil"/>
                    <w:left w:val="nil"/>
                    <w:bottom w:val="single" w:sz="4" w:space="0" w:color="auto"/>
                    <w:right w:val="single" w:sz="4" w:space="0" w:color="auto"/>
                  </w:tcBorders>
                  <w:shd w:val="clear" w:color="auto" w:fill="auto"/>
                  <w:noWrap/>
                  <w:vAlign w:val="bottom"/>
                  <w:hideMark/>
                </w:tcPr>
                <w:p w14:paraId="03D9CCA0"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5</w:t>
                  </w:r>
                </w:p>
              </w:tc>
            </w:tr>
            <w:tr w:rsidR="00030CE4" w:rsidRPr="003049E1" w14:paraId="1ABA5596" w14:textId="77777777" w:rsidTr="006A3A64">
              <w:trPr>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EF5A849" w14:textId="77777777" w:rsidR="00EC66D1" w:rsidRPr="003049E1" w:rsidRDefault="00EC66D1" w:rsidP="00EC66D1">
                  <w:pPr>
                    <w:rPr>
                      <w:rFonts w:ascii="Calibri" w:hAnsi="Calibri"/>
                      <w:color w:val="000000"/>
                      <w:lang w:eastAsia="en-GB"/>
                    </w:rPr>
                  </w:pPr>
                  <w:r w:rsidRPr="003049E1">
                    <w:rPr>
                      <w:rFonts w:ascii="Calibri" w:hAnsi="Calibri"/>
                      <w:color w:val="000000"/>
                      <w:lang w:eastAsia="en-GB"/>
                    </w:rPr>
                    <w:t>North West</w:t>
                  </w:r>
                </w:p>
              </w:tc>
              <w:tc>
                <w:tcPr>
                  <w:tcW w:w="1156" w:type="dxa"/>
                  <w:tcBorders>
                    <w:top w:val="nil"/>
                    <w:left w:val="nil"/>
                    <w:bottom w:val="single" w:sz="4" w:space="0" w:color="auto"/>
                    <w:right w:val="single" w:sz="4" w:space="0" w:color="auto"/>
                  </w:tcBorders>
                  <w:shd w:val="clear" w:color="auto" w:fill="auto"/>
                  <w:noWrap/>
                  <w:vAlign w:val="bottom"/>
                  <w:hideMark/>
                </w:tcPr>
                <w:p w14:paraId="6145FAD1"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234,708</w:t>
                  </w:r>
                </w:p>
              </w:tc>
              <w:tc>
                <w:tcPr>
                  <w:tcW w:w="1036" w:type="dxa"/>
                  <w:tcBorders>
                    <w:top w:val="nil"/>
                    <w:left w:val="nil"/>
                    <w:bottom w:val="single" w:sz="4" w:space="0" w:color="auto"/>
                    <w:right w:val="single" w:sz="4" w:space="0" w:color="auto"/>
                  </w:tcBorders>
                  <w:shd w:val="clear" w:color="auto" w:fill="auto"/>
                  <w:noWrap/>
                  <w:vAlign w:val="bottom"/>
                  <w:hideMark/>
                </w:tcPr>
                <w:p w14:paraId="54B41F55"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305</w:t>
                  </w:r>
                </w:p>
              </w:tc>
              <w:tc>
                <w:tcPr>
                  <w:tcW w:w="1107" w:type="dxa"/>
                  <w:tcBorders>
                    <w:top w:val="nil"/>
                    <w:left w:val="nil"/>
                    <w:bottom w:val="single" w:sz="4" w:space="0" w:color="auto"/>
                    <w:right w:val="single" w:sz="4" w:space="0" w:color="auto"/>
                  </w:tcBorders>
                  <w:shd w:val="clear" w:color="auto" w:fill="auto"/>
                  <w:noWrap/>
                  <w:vAlign w:val="bottom"/>
                  <w:hideMark/>
                </w:tcPr>
                <w:p w14:paraId="1D22DFF0"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1,617</w:t>
                  </w:r>
                </w:p>
              </w:tc>
              <w:tc>
                <w:tcPr>
                  <w:tcW w:w="776" w:type="dxa"/>
                  <w:tcBorders>
                    <w:top w:val="nil"/>
                    <w:left w:val="nil"/>
                    <w:bottom w:val="single" w:sz="4" w:space="0" w:color="auto"/>
                    <w:right w:val="single" w:sz="4" w:space="0" w:color="auto"/>
                  </w:tcBorders>
                  <w:shd w:val="clear" w:color="auto" w:fill="auto"/>
                  <w:noWrap/>
                  <w:vAlign w:val="bottom"/>
                  <w:hideMark/>
                </w:tcPr>
                <w:p w14:paraId="5DF5CEC8"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142</w:t>
                  </w:r>
                </w:p>
              </w:tc>
              <w:tc>
                <w:tcPr>
                  <w:tcW w:w="1036" w:type="dxa"/>
                  <w:tcBorders>
                    <w:top w:val="nil"/>
                    <w:left w:val="nil"/>
                    <w:bottom w:val="single" w:sz="4" w:space="0" w:color="auto"/>
                    <w:right w:val="single" w:sz="4" w:space="0" w:color="auto"/>
                  </w:tcBorders>
                  <w:shd w:val="clear" w:color="auto" w:fill="auto"/>
                  <w:noWrap/>
                  <w:vAlign w:val="bottom"/>
                  <w:hideMark/>
                </w:tcPr>
                <w:p w14:paraId="3A0AAB45"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4</w:t>
                  </w:r>
                </w:p>
              </w:tc>
              <w:tc>
                <w:tcPr>
                  <w:tcW w:w="1107" w:type="dxa"/>
                  <w:tcBorders>
                    <w:top w:val="nil"/>
                    <w:left w:val="nil"/>
                    <w:bottom w:val="single" w:sz="4" w:space="0" w:color="auto"/>
                    <w:right w:val="single" w:sz="4" w:space="0" w:color="auto"/>
                  </w:tcBorders>
                  <w:shd w:val="clear" w:color="auto" w:fill="auto"/>
                  <w:noWrap/>
                  <w:vAlign w:val="bottom"/>
                  <w:hideMark/>
                </w:tcPr>
                <w:p w14:paraId="46593D06"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3</w:t>
                  </w:r>
                </w:p>
              </w:tc>
              <w:tc>
                <w:tcPr>
                  <w:tcW w:w="691" w:type="dxa"/>
                  <w:tcBorders>
                    <w:top w:val="nil"/>
                    <w:left w:val="nil"/>
                    <w:bottom w:val="single" w:sz="4" w:space="0" w:color="auto"/>
                    <w:right w:val="single" w:sz="4" w:space="0" w:color="auto"/>
                  </w:tcBorders>
                  <w:shd w:val="clear" w:color="auto" w:fill="auto"/>
                  <w:noWrap/>
                  <w:vAlign w:val="bottom"/>
                  <w:hideMark/>
                </w:tcPr>
                <w:p w14:paraId="6886E98B"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2</w:t>
                  </w:r>
                </w:p>
              </w:tc>
            </w:tr>
            <w:tr w:rsidR="00030CE4" w:rsidRPr="003049E1" w14:paraId="469FABF5" w14:textId="77777777" w:rsidTr="006A3A64">
              <w:trPr>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9721808" w14:textId="77777777" w:rsidR="00EC66D1" w:rsidRPr="003049E1" w:rsidRDefault="00EC66D1" w:rsidP="00EC66D1">
                  <w:pPr>
                    <w:rPr>
                      <w:rFonts w:ascii="Calibri" w:hAnsi="Calibri"/>
                      <w:color w:val="000000"/>
                      <w:lang w:eastAsia="en-GB"/>
                    </w:rPr>
                  </w:pPr>
                  <w:r w:rsidRPr="003049E1">
                    <w:rPr>
                      <w:rFonts w:ascii="Calibri" w:hAnsi="Calibri"/>
                      <w:color w:val="000000"/>
                      <w:lang w:eastAsia="en-GB"/>
                    </w:rPr>
                    <w:t>South</w:t>
                  </w:r>
                </w:p>
              </w:tc>
              <w:tc>
                <w:tcPr>
                  <w:tcW w:w="1156" w:type="dxa"/>
                  <w:tcBorders>
                    <w:top w:val="nil"/>
                    <w:left w:val="nil"/>
                    <w:bottom w:val="single" w:sz="4" w:space="0" w:color="auto"/>
                    <w:right w:val="single" w:sz="4" w:space="0" w:color="auto"/>
                  </w:tcBorders>
                  <w:shd w:val="clear" w:color="auto" w:fill="auto"/>
                  <w:noWrap/>
                  <w:vAlign w:val="bottom"/>
                  <w:hideMark/>
                </w:tcPr>
                <w:p w14:paraId="2910E21E"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389,641</w:t>
                  </w:r>
                </w:p>
              </w:tc>
              <w:tc>
                <w:tcPr>
                  <w:tcW w:w="1036" w:type="dxa"/>
                  <w:tcBorders>
                    <w:top w:val="nil"/>
                    <w:left w:val="nil"/>
                    <w:bottom w:val="single" w:sz="4" w:space="0" w:color="auto"/>
                    <w:right w:val="single" w:sz="4" w:space="0" w:color="auto"/>
                  </w:tcBorders>
                  <w:shd w:val="clear" w:color="auto" w:fill="auto"/>
                  <w:noWrap/>
                  <w:vAlign w:val="bottom"/>
                  <w:hideMark/>
                </w:tcPr>
                <w:p w14:paraId="07BF7271"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242</w:t>
                  </w:r>
                </w:p>
              </w:tc>
              <w:tc>
                <w:tcPr>
                  <w:tcW w:w="1107" w:type="dxa"/>
                  <w:tcBorders>
                    <w:top w:val="nil"/>
                    <w:left w:val="nil"/>
                    <w:bottom w:val="single" w:sz="4" w:space="0" w:color="auto"/>
                    <w:right w:val="single" w:sz="4" w:space="0" w:color="auto"/>
                  </w:tcBorders>
                  <w:shd w:val="clear" w:color="auto" w:fill="auto"/>
                  <w:noWrap/>
                  <w:vAlign w:val="bottom"/>
                  <w:hideMark/>
                </w:tcPr>
                <w:p w14:paraId="56960ED9"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1,229</w:t>
                  </w:r>
                </w:p>
              </w:tc>
              <w:tc>
                <w:tcPr>
                  <w:tcW w:w="776" w:type="dxa"/>
                  <w:tcBorders>
                    <w:top w:val="nil"/>
                    <w:left w:val="nil"/>
                    <w:bottom w:val="single" w:sz="4" w:space="0" w:color="auto"/>
                    <w:right w:val="single" w:sz="4" w:space="0" w:color="auto"/>
                  </w:tcBorders>
                  <w:shd w:val="clear" w:color="auto" w:fill="auto"/>
                  <w:noWrap/>
                  <w:vAlign w:val="bottom"/>
                  <w:hideMark/>
                </w:tcPr>
                <w:p w14:paraId="55C484B4"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95</w:t>
                  </w:r>
                </w:p>
              </w:tc>
              <w:tc>
                <w:tcPr>
                  <w:tcW w:w="1036" w:type="dxa"/>
                  <w:tcBorders>
                    <w:top w:val="nil"/>
                    <w:left w:val="nil"/>
                    <w:bottom w:val="single" w:sz="4" w:space="0" w:color="auto"/>
                    <w:right w:val="single" w:sz="4" w:space="0" w:color="auto"/>
                  </w:tcBorders>
                  <w:shd w:val="clear" w:color="auto" w:fill="auto"/>
                  <w:noWrap/>
                  <w:vAlign w:val="bottom"/>
                  <w:hideMark/>
                </w:tcPr>
                <w:p w14:paraId="6F23E07A"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5</w:t>
                  </w:r>
                </w:p>
              </w:tc>
              <w:tc>
                <w:tcPr>
                  <w:tcW w:w="1107" w:type="dxa"/>
                  <w:tcBorders>
                    <w:top w:val="nil"/>
                    <w:left w:val="nil"/>
                    <w:bottom w:val="single" w:sz="4" w:space="0" w:color="auto"/>
                    <w:right w:val="single" w:sz="4" w:space="0" w:color="auto"/>
                  </w:tcBorders>
                  <w:shd w:val="clear" w:color="auto" w:fill="auto"/>
                  <w:noWrap/>
                  <w:vAlign w:val="bottom"/>
                  <w:hideMark/>
                </w:tcPr>
                <w:p w14:paraId="4E67A886"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5</w:t>
                  </w:r>
                </w:p>
              </w:tc>
              <w:tc>
                <w:tcPr>
                  <w:tcW w:w="691" w:type="dxa"/>
                  <w:tcBorders>
                    <w:top w:val="nil"/>
                    <w:left w:val="nil"/>
                    <w:bottom w:val="single" w:sz="4" w:space="0" w:color="auto"/>
                    <w:right w:val="single" w:sz="4" w:space="0" w:color="auto"/>
                  </w:tcBorders>
                  <w:shd w:val="clear" w:color="auto" w:fill="auto"/>
                  <w:noWrap/>
                  <w:vAlign w:val="bottom"/>
                  <w:hideMark/>
                </w:tcPr>
                <w:p w14:paraId="79B8EE6C"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4</w:t>
                  </w:r>
                </w:p>
              </w:tc>
            </w:tr>
            <w:tr w:rsidR="00030CE4" w:rsidRPr="003049E1" w14:paraId="6AB265A0" w14:textId="77777777" w:rsidTr="006A3A64">
              <w:trPr>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694A041" w14:textId="77777777" w:rsidR="00EC66D1" w:rsidRPr="003049E1" w:rsidRDefault="00EC66D1" w:rsidP="00EC66D1">
                  <w:pPr>
                    <w:rPr>
                      <w:rFonts w:ascii="Calibri" w:hAnsi="Calibri"/>
                      <w:color w:val="000000"/>
                      <w:lang w:eastAsia="en-GB"/>
                    </w:rPr>
                  </w:pPr>
                  <w:r w:rsidRPr="003049E1">
                    <w:rPr>
                      <w:rFonts w:ascii="Calibri" w:hAnsi="Calibri"/>
                      <w:color w:val="000000"/>
                      <w:lang w:eastAsia="en-GB"/>
                    </w:rPr>
                    <w:t>West</w:t>
                  </w:r>
                </w:p>
              </w:tc>
              <w:tc>
                <w:tcPr>
                  <w:tcW w:w="1156" w:type="dxa"/>
                  <w:tcBorders>
                    <w:top w:val="nil"/>
                    <w:left w:val="nil"/>
                    <w:bottom w:val="single" w:sz="4" w:space="0" w:color="auto"/>
                    <w:right w:val="single" w:sz="4" w:space="0" w:color="auto"/>
                  </w:tcBorders>
                  <w:shd w:val="clear" w:color="auto" w:fill="auto"/>
                  <w:noWrap/>
                  <w:vAlign w:val="bottom"/>
                  <w:hideMark/>
                </w:tcPr>
                <w:p w14:paraId="3ED4DE0A"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374,442</w:t>
                  </w:r>
                </w:p>
              </w:tc>
              <w:tc>
                <w:tcPr>
                  <w:tcW w:w="1036" w:type="dxa"/>
                  <w:tcBorders>
                    <w:top w:val="nil"/>
                    <w:left w:val="nil"/>
                    <w:bottom w:val="single" w:sz="4" w:space="0" w:color="auto"/>
                    <w:right w:val="single" w:sz="4" w:space="0" w:color="auto"/>
                  </w:tcBorders>
                  <w:shd w:val="clear" w:color="auto" w:fill="auto"/>
                  <w:noWrap/>
                  <w:vAlign w:val="bottom"/>
                  <w:hideMark/>
                </w:tcPr>
                <w:p w14:paraId="07570C5D"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332</w:t>
                  </w:r>
                </w:p>
              </w:tc>
              <w:tc>
                <w:tcPr>
                  <w:tcW w:w="1107" w:type="dxa"/>
                  <w:tcBorders>
                    <w:top w:val="nil"/>
                    <w:left w:val="nil"/>
                    <w:bottom w:val="single" w:sz="4" w:space="0" w:color="auto"/>
                    <w:right w:val="single" w:sz="4" w:space="0" w:color="auto"/>
                  </w:tcBorders>
                  <w:shd w:val="clear" w:color="auto" w:fill="auto"/>
                  <w:noWrap/>
                  <w:vAlign w:val="bottom"/>
                  <w:hideMark/>
                </w:tcPr>
                <w:p w14:paraId="31820063"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1,722</w:t>
                  </w:r>
                </w:p>
              </w:tc>
              <w:tc>
                <w:tcPr>
                  <w:tcW w:w="776" w:type="dxa"/>
                  <w:tcBorders>
                    <w:top w:val="nil"/>
                    <w:left w:val="nil"/>
                    <w:bottom w:val="single" w:sz="4" w:space="0" w:color="auto"/>
                    <w:right w:val="single" w:sz="4" w:space="0" w:color="auto"/>
                  </w:tcBorders>
                  <w:shd w:val="clear" w:color="auto" w:fill="auto"/>
                  <w:noWrap/>
                  <w:vAlign w:val="bottom"/>
                  <w:hideMark/>
                </w:tcPr>
                <w:p w14:paraId="63559D12"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131</w:t>
                  </w:r>
                </w:p>
              </w:tc>
              <w:tc>
                <w:tcPr>
                  <w:tcW w:w="1036" w:type="dxa"/>
                  <w:tcBorders>
                    <w:top w:val="nil"/>
                    <w:left w:val="nil"/>
                    <w:bottom w:val="single" w:sz="4" w:space="0" w:color="auto"/>
                    <w:right w:val="single" w:sz="4" w:space="0" w:color="auto"/>
                  </w:tcBorders>
                  <w:shd w:val="clear" w:color="auto" w:fill="auto"/>
                  <w:noWrap/>
                  <w:vAlign w:val="bottom"/>
                  <w:hideMark/>
                </w:tcPr>
                <w:p w14:paraId="6677A3D6"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2</w:t>
                  </w:r>
                </w:p>
              </w:tc>
              <w:tc>
                <w:tcPr>
                  <w:tcW w:w="1107" w:type="dxa"/>
                  <w:tcBorders>
                    <w:top w:val="nil"/>
                    <w:left w:val="nil"/>
                    <w:bottom w:val="single" w:sz="4" w:space="0" w:color="auto"/>
                    <w:right w:val="single" w:sz="4" w:space="0" w:color="auto"/>
                  </w:tcBorders>
                  <w:shd w:val="clear" w:color="auto" w:fill="auto"/>
                  <w:noWrap/>
                  <w:vAlign w:val="bottom"/>
                  <w:hideMark/>
                </w:tcPr>
                <w:p w14:paraId="16D542F4"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2</w:t>
                  </w:r>
                </w:p>
              </w:tc>
              <w:tc>
                <w:tcPr>
                  <w:tcW w:w="691" w:type="dxa"/>
                  <w:tcBorders>
                    <w:top w:val="nil"/>
                    <w:left w:val="nil"/>
                    <w:bottom w:val="single" w:sz="4" w:space="0" w:color="auto"/>
                    <w:right w:val="single" w:sz="4" w:space="0" w:color="auto"/>
                  </w:tcBorders>
                  <w:shd w:val="clear" w:color="auto" w:fill="auto"/>
                  <w:noWrap/>
                  <w:vAlign w:val="bottom"/>
                  <w:hideMark/>
                </w:tcPr>
                <w:p w14:paraId="0E7647EF" w14:textId="77777777" w:rsidR="00EC66D1" w:rsidRPr="003049E1" w:rsidRDefault="00EC66D1" w:rsidP="00EC66D1">
                  <w:pPr>
                    <w:jc w:val="right"/>
                    <w:rPr>
                      <w:rFonts w:ascii="Calibri" w:hAnsi="Calibri"/>
                      <w:color w:val="000000"/>
                      <w:lang w:eastAsia="en-GB"/>
                    </w:rPr>
                  </w:pPr>
                  <w:r w:rsidRPr="003049E1">
                    <w:rPr>
                      <w:rFonts w:ascii="Calibri" w:hAnsi="Calibri"/>
                      <w:color w:val="000000"/>
                      <w:lang w:eastAsia="en-GB"/>
                    </w:rPr>
                    <w:t>3</w:t>
                  </w:r>
                </w:p>
              </w:tc>
            </w:tr>
            <w:tr w:rsidR="00030CE4" w:rsidRPr="003049E1" w14:paraId="6E099D25" w14:textId="77777777" w:rsidTr="006A3A64">
              <w:trPr>
                <w:trHeight w:val="290"/>
              </w:trPr>
              <w:tc>
                <w:tcPr>
                  <w:tcW w:w="14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38C641F" w14:textId="77777777" w:rsidR="00EC66D1" w:rsidRPr="006A3A64" w:rsidRDefault="00EC66D1" w:rsidP="00EC66D1">
                  <w:pPr>
                    <w:rPr>
                      <w:rFonts w:ascii="Calibri" w:hAnsi="Calibri"/>
                      <w:b/>
                      <w:bCs/>
                      <w:color w:val="000000"/>
                      <w:sz w:val="20"/>
                      <w:lang w:eastAsia="en-GB"/>
                    </w:rPr>
                  </w:pPr>
                  <w:r w:rsidRPr="006A3A64">
                    <w:rPr>
                      <w:rFonts w:ascii="Calibri" w:hAnsi="Calibri"/>
                      <w:b/>
                      <w:bCs/>
                      <w:color w:val="000000"/>
                      <w:sz w:val="20"/>
                      <w:lang w:eastAsia="en-GB"/>
                    </w:rPr>
                    <w:t>Total</w:t>
                  </w:r>
                </w:p>
              </w:tc>
              <w:tc>
                <w:tcPr>
                  <w:tcW w:w="1156" w:type="dxa"/>
                  <w:tcBorders>
                    <w:top w:val="single" w:sz="4" w:space="0" w:color="auto"/>
                    <w:left w:val="nil"/>
                    <w:bottom w:val="single" w:sz="4" w:space="0" w:color="auto"/>
                    <w:right w:val="single" w:sz="4" w:space="0" w:color="auto"/>
                  </w:tcBorders>
                  <w:shd w:val="clear" w:color="000000" w:fill="DDEBF7"/>
                  <w:noWrap/>
                  <w:vAlign w:val="bottom"/>
                  <w:hideMark/>
                </w:tcPr>
                <w:p w14:paraId="5BE9C2EA" w14:textId="77777777" w:rsidR="00EC66D1" w:rsidRPr="006A3A64" w:rsidRDefault="00EC66D1" w:rsidP="00EC66D1">
                  <w:pPr>
                    <w:jc w:val="right"/>
                    <w:rPr>
                      <w:rFonts w:ascii="Calibri" w:hAnsi="Calibri"/>
                      <w:b/>
                      <w:bCs/>
                      <w:color w:val="000000"/>
                      <w:sz w:val="20"/>
                      <w:lang w:eastAsia="en-GB"/>
                    </w:rPr>
                  </w:pPr>
                  <w:r w:rsidRPr="006A3A64">
                    <w:rPr>
                      <w:rFonts w:ascii="Calibri" w:hAnsi="Calibri"/>
                      <w:b/>
                      <w:bCs/>
                      <w:color w:val="000000"/>
                      <w:sz w:val="20"/>
                      <w:lang w:eastAsia="en-GB"/>
                    </w:rPr>
                    <w:t>1,499,694</w:t>
                  </w:r>
                </w:p>
              </w:tc>
              <w:tc>
                <w:tcPr>
                  <w:tcW w:w="1036" w:type="dxa"/>
                  <w:tcBorders>
                    <w:top w:val="single" w:sz="4" w:space="0" w:color="auto"/>
                    <w:left w:val="nil"/>
                    <w:bottom w:val="single" w:sz="4" w:space="0" w:color="auto"/>
                    <w:right w:val="single" w:sz="4" w:space="0" w:color="auto"/>
                  </w:tcBorders>
                  <w:shd w:val="clear" w:color="000000" w:fill="DDEBF7"/>
                  <w:noWrap/>
                  <w:vAlign w:val="bottom"/>
                  <w:hideMark/>
                </w:tcPr>
                <w:p w14:paraId="31E77A0D" w14:textId="77777777" w:rsidR="00EC66D1" w:rsidRPr="006A3A64" w:rsidRDefault="00EC66D1" w:rsidP="00EC66D1">
                  <w:pPr>
                    <w:jc w:val="right"/>
                    <w:rPr>
                      <w:rFonts w:ascii="Calibri" w:hAnsi="Calibri"/>
                      <w:b/>
                      <w:bCs/>
                      <w:color w:val="000000"/>
                      <w:sz w:val="20"/>
                      <w:lang w:eastAsia="en-GB"/>
                    </w:rPr>
                  </w:pPr>
                  <w:r w:rsidRPr="006A3A64">
                    <w:rPr>
                      <w:rFonts w:ascii="Calibri" w:hAnsi="Calibri"/>
                      <w:b/>
                      <w:bCs/>
                      <w:color w:val="000000"/>
                      <w:sz w:val="20"/>
                      <w:lang w:eastAsia="en-GB"/>
                    </w:rPr>
                    <w:t>384</w:t>
                  </w:r>
                </w:p>
              </w:tc>
              <w:tc>
                <w:tcPr>
                  <w:tcW w:w="1107" w:type="dxa"/>
                  <w:tcBorders>
                    <w:top w:val="single" w:sz="4" w:space="0" w:color="auto"/>
                    <w:left w:val="nil"/>
                    <w:bottom w:val="single" w:sz="4" w:space="0" w:color="auto"/>
                    <w:right w:val="single" w:sz="4" w:space="0" w:color="auto"/>
                  </w:tcBorders>
                  <w:shd w:val="clear" w:color="000000" w:fill="DDEBF7"/>
                  <w:noWrap/>
                  <w:vAlign w:val="bottom"/>
                  <w:hideMark/>
                </w:tcPr>
                <w:p w14:paraId="184225E8" w14:textId="77777777" w:rsidR="00EC66D1" w:rsidRPr="006A3A64" w:rsidRDefault="00EC66D1" w:rsidP="00EC66D1">
                  <w:pPr>
                    <w:jc w:val="right"/>
                    <w:rPr>
                      <w:rFonts w:ascii="Calibri" w:hAnsi="Calibri"/>
                      <w:b/>
                      <w:bCs/>
                      <w:color w:val="000000"/>
                      <w:sz w:val="20"/>
                      <w:lang w:eastAsia="en-GB"/>
                    </w:rPr>
                  </w:pPr>
                  <w:r w:rsidRPr="006A3A64">
                    <w:rPr>
                      <w:rFonts w:ascii="Calibri" w:hAnsi="Calibri"/>
                      <w:b/>
                      <w:bCs/>
                      <w:color w:val="000000"/>
                      <w:sz w:val="20"/>
                      <w:lang w:eastAsia="en-GB"/>
                    </w:rPr>
                    <w:t>2,014</w:t>
                  </w:r>
                </w:p>
              </w:tc>
              <w:tc>
                <w:tcPr>
                  <w:tcW w:w="776" w:type="dxa"/>
                  <w:tcBorders>
                    <w:top w:val="single" w:sz="4" w:space="0" w:color="auto"/>
                    <w:left w:val="nil"/>
                    <w:bottom w:val="single" w:sz="4" w:space="0" w:color="auto"/>
                    <w:right w:val="single" w:sz="4" w:space="0" w:color="auto"/>
                  </w:tcBorders>
                  <w:shd w:val="clear" w:color="000000" w:fill="DDEBF7"/>
                  <w:noWrap/>
                  <w:vAlign w:val="bottom"/>
                  <w:hideMark/>
                </w:tcPr>
                <w:p w14:paraId="3CB4FF50" w14:textId="77777777" w:rsidR="00EC66D1" w:rsidRPr="006A3A64" w:rsidRDefault="00EC66D1" w:rsidP="00EC66D1">
                  <w:pPr>
                    <w:jc w:val="right"/>
                    <w:rPr>
                      <w:rFonts w:ascii="Calibri" w:hAnsi="Calibri"/>
                      <w:b/>
                      <w:bCs/>
                      <w:color w:val="000000"/>
                      <w:sz w:val="20"/>
                      <w:lang w:eastAsia="en-GB"/>
                    </w:rPr>
                  </w:pPr>
                  <w:r w:rsidRPr="006A3A64">
                    <w:rPr>
                      <w:rFonts w:ascii="Calibri" w:hAnsi="Calibri"/>
                      <w:b/>
                      <w:bCs/>
                      <w:color w:val="000000"/>
                      <w:sz w:val="20"/>
                      <w:lang w:eastAsia="en-GB"/>
                    </w:rPr>
                    <w:t>156</w:t>
                  </w:r>
                </w:p>
              </w:tc>
              <w:tc>
                <w:tcPr>
                  <w:tcW w:w="1036" w:type="dxa"/>
                  <w:tcBorders>
                    <w:top w:val="single" w:sz="4" w:space="0" w:color="auto"/>
                    <w:left w:val="nil"/>
                    <w:bottom w:val="single" w:sz="4" w:space="0" w:color="auto"/>
                    <w:right w:val="single" w:sz="4" w:space="0" w:color="auto"/>
                  </w:tcBorders>
                  <w:shd w:val="clear" w:color="000000" w:fill="DDEBF7"/>
                  <w:noWrap/>
                  <w:vAlign w:val="bottom"/>
                  <w:hideMark/>
                </w:tcPr>
                <w:p w14:paraId="06B3653A" w14:textId="77777777" w:rsidR="00EC66D1" w:rsidRPr="006A3A64" w:rsidRDefault="00EC66D1" w:rsidP="00EC66D1">
                  <w:pPr>
                    <w:rPr>
                      <w:rFonts w:ascii="Calibri" w:hAnsi="Calibri"/>
                      <w:b/>
                      <w:bCs/>
                      <w:color w:val="000000"/>
                      <w:sz w:val="20"/>
                      <w:lang w:eastAsia="en-GB"/>
                    </w:rPr>
                  </w:pPr>
                  <w:r w:rsidRPr="006A3A64">
                    <w:rPr>
                      <w:rFonts w:ascii="Calibri" w:hAnsi="Calibri"/>
                      <w:b/>
                      <w:bCs/>
                      <w:color w:val="000000"/>
                      <w:sz w:val="20"/>
                      <w:lang w:eastAsia="en-GB"/>
                    </w:rPr>
                    <w:t> </w:t>
                  </w:r>
                </w:p>
              </w:tc>
              <w:tc>
                <w:tcPr>
                  <w:tcW w:w="1107" w:type="dxa"/>
                  <w:tcBorders>
                    <w:top w:val="single" w:sz="4" w:space="0" w:color="auto"/>
                    <w:left w:val="nil"/>
                    <w:bottom w:val="single" w:sz="4" w:space="0" w:color="auto"/>
                    <w:right w:val="single" w:sz="4" w:space="0" w:color="auto"/>
                  </w:tcBorders>
                  <w:shd w:val="clear" w:color="000000" w:fill="DDEBF7"/>
                  <w:noWrap/>
                  <w:vAlign w:val="bottom"/>
                  <w:hideMark/>
                </w:tcPr>
                <w:p w14:paraId="2B3F0849" w14:textId="77777777" w:rsidR="00EC66D1" w:rsidRPr="006A3A64" w:rsidRDefault="00EC66D1" w:rsidP="00EC66D1">
                  <w:pPr>
                    <w:rPr>
                      <w:rFonts w:ascii="Calibri" w:hAnsi="Calibri"/>
                      <w:b/>
                      <w:bCs/>
                      <w:color w:val="000000"/>
                      <w:sz w:val="20"/>
                      <w:lang w:eastAsia="en-GB"/>
                    </w:rPr>
                  </w:pPr>
                  <w:r w:rsidRPr="006A3A64">
                    <w:rPr>
                      <w:rFonts w:ascii="Calibri" w:hAnsi="Calibri"/>
                      <w:b/>
                      <w:bCs/>
                      <w:color w:val="000000"/>
                      <w:sz w:val="20"/>
                      <w:lang w:eastAsia="en-GB"/>
                    </w:rPr>
                    <w:t> </w:t>
                  </w:r>
                </w:p>
              </w:tc>
              <w:tc>
                <w:tcPr>
                  <w:tcW w:w="691" w:type="dxa"/>
                  <w:tcBorders>
                    <w:top w:val="single" w:sz="4" w:space="0" w:color="auto"/>
                    <w:left w:val="nil"/>
                    <w:bottom w:val="single" w:sz="4" w:space="0" w:color="auto"/>
                    <w:right w:val="single" w:sz="4" w:space="0" w:color="auto"/>
                  </w:tcBorders>
                  <w:shd w:val="clear" w:color="000000" w:fill="DDEBF7"/>
                  <w:noWrap/>
                  <w:vAlign w:val="bottom"/>
                  <w:hideMark/>
                </w:tcPr>
                <w:p w14:paraId="2C2DA46C" w14:textId="77777777" w:rsidR="00EC66D1" w:rsidRPr="006A3A64" w:rsidRDefault="00EC66D1" w:rsidP="00EC66D1">
                  <w:pPr>
                    <w:rPr>
                      <w:rFonts w:ascii="Calibri" w:hAnsi="Calibri"/>
                      <w:b/>
                      <w:bCs/>
                      <w:color w:val="000000"/>
                      <w:sz w:val="20"/>
                      <w:lang w:eastAsia="en-GB"/>
                    </w:rPr>
                  </w:pPr>
                  <w:r w:rsidRPr="006A3A64">
                    <w:rPr>
                      <w:rFonts w:ascii="Calibri" w:hAnsi="Calibri"/>
                      <w:b/>
                      <w:bCs/>
                      <w:color w:val="000000"/>
                      <w:sz w:val="20"/>
                      <w:lang w:eastAsia="en-GB"/>
                    </w:rPr>
                    <w:t> </w:t>
                  </w:r>
                </w:p>
              </w:tc>
            </w:tr>
            <w:tr w:rsidR="00EC66D1" w:rsidRPr="003049E1" w14:paraId="3968630F" w14:textId="77777777" w:rsidTr="006A3A64">
              <w:trPr>
                <w:trHeight w:val="290"/>
              </w:trPr>
              <w:tc>
                <w:tcPr>
                  <w:tcW w:w="4699" w:type="dxa"/>
                  <w:gridSpan w:val="4"/>
                  <w:tcBorders>
                    <w:top w:val="nil"/>
                    <w:left w:val="nil"/>
                    <w:bottom w:val="nil"/>
                    <w:right w:val="nil"/>
                  </w:tcBorders>
                  <w:shd w:val="clear" w:color="auto" w:fill="auto"/>
                  <w:noWrap/>
                  <w:vAlign w:val="bottom"/>
                  <w:hideMark/>
                </w:tcPr>
                <w:p w14:paraId="01DE9373" w14:textId="77777777" w:rsidR="00EC66D1" w:rsidRPr="003049E1" w:rsidRDefault="00EC66D1" w:rsidP="006A3A64">
                  <w:pPr>
                    <w:ind w:right="-96"/>
                    <w:rPr>
                      <w:rFonts w:ascii="Calibri" w:hAnsi="Calibri"/>
                      <w:b/>
                      <w:bCs/>
                      <w:i/>
                      <w:iCs/>
                      <w:color w:val="000000"/>
                      <w:lang w:eastAsia="en-GB"/>
                    </w:rPr>
                  </w:pPr>
                  <w:r w:rsidRPr="003049E1">
                    <w:rPr>
                      <w:rFonts w:ascii="Calibri" w:hAnsi="Calibri"/>
                      <w:b/>
                      <w:bCs/>
                      <w:i/>
                      <w:iCs/>
                      <w:color w:val="000000"/>
                      <w:lang w:eastAsia="en-GB"/>
                    </w:rPr>
                    <w:lastRenderedPageBreak/>
                    <w:t>Per Head figures exclude Not Yet Determined</w:t>
                  </w:r>
                </w:p>
              </w:tc>
              <w:tc>
                <w:tcPr>
                  <w:tcW w:w="776" w:type="dxa"/>
                  <w:tcBorders>
                    <w:top w:val="nil"/>
                    <w:left w:val="nil"/>
                    <w:bottom w:val="nil"/>
                    <w:right w:val="nil"/>
                  </w:tcBorders>
                  <w:shd w:val="clear" w:color="auto" w:fill="auto"/>
                  <w:noWrap/>
                  <w:vAlign w:val="bottom"/>
                  <w:hideMark/>
                </w:tcPr>
                <w:p w14:paraId="52CB51C2" w14:textId="77777777" w:rsidR="00EC66D1" w:rsidRPr="003049E1" w:rsidRDefault="00EC66D1" w:rsidP="00EC66D1">
                  <w:pPr>
                    <w:rPr>
                      <w:rFonts w:ascii="Calibri" w:hAnsi="Calibri"/>
                      <w:b/>
                      <w:bCs/>
                      <w:i/>
                      <w:iCs/>
                      <w:color w:val="000000"/>
                      <w:lang w:eastAsia="en-GB"/>
                    </w:rPr>
                  </w:pPr>
                </w:p>
              </w:tc>
              <w:tc>
                <w:tcPr>
                  <w:tcW w:w="1036" w:type="dxa"/>
                  <w:tcBorders>
                    <w:top w:val="nil"/>
                    <w:left w:val="nil"/>
                    <w:bottom w:val="nil"/>
                    <w:right w:val="nil"/>
                  </w:tcBorders>
                  <w:shd w:val="clear" w:color="auto" w:fill="auto"/>
                  <w:noWrap/>
                  <w:vAlign w:val="bottom"/>
                  <w:hideMark/>
                </w:tcPr>
                <w:p w14:paraId="5D0C550C" w14:textId="77777777" w:rsidR="00EC66D1" w:rsidRPr="003049E1" w:rsidRDefault="00EC66D1" w:rsidP="00EC66D1">
                  <w:pPr>
                    <w:rPr>
                      <w:rFonts w:ascii="Times New Roman" w:hAnsi="Times New Roman"/>
                      <w:sz w:val="20"/>
                      <w:lang w:eastAsia="en-GB"/>
                    </w:rPr>
                  </w:pPr>
                </w:p>
              </w:tc>
              <w:tc>
                <w:tcPr>
                  <w:tcW w:w="1107" w:type="dxa"/>
                  <w:tcBorders>
                    <w:top w:val="nil"/>
                    <w:left w:val="nil"/>
                    <w:bottom w:val="nil"/>
                    <w:right w:val="nil"/>
                  </w:tcBorders>
                  <w:shd w:val="clear" w:color="auto" w:fill="auto"/>
                  <w:noWrap/>
                  <w:vAlign w:val="bottom"/>
                  <w:hideMark/>
                </w:tcPr>
                <w:p w14:paraId="3D278879" w14:textId="77777777" w:rsidR="00EC66D1" w:rsidRPr="003049E1" w:rsidRDefault="00EC66D1" w:rsidP="00EC66D1">
                  <w:pPr>
                    <w:rPr>
                      <w:rFonts w:ascii="Times New Roman" w:hAnsi="Times New Roman"/>
                      <w:sz w:val="20"/>
                      <w:lang w:eastAsia="en-GB"/>
                    </w:rPr>
                  </w:pPr>
                </w:p>
              </w:tc>
              <w:tc>
                <w:tcPr>
                  <w:tcW w:w="691" w:type="dxa"/>
                  <w:tcBorders>
                    <w:top w:val="nil"/>
                    <w:left w:val="nil"/>
                    <w:bottom w:val="nil"/>
                    <w:right w:val="nil"/>
                  </w:tcBorders>
                  <w:shd w:val="clear" w:color="auto" w:fill="auto"/>
                  <w:noWrap/>
                  <w:vAlign w:val="bottom"/>
                  <w:hideMark/>
                </w:tcPr>
                <w:p w14:paraId="30AB5F00" w14:textId="77777777" w:rsidR="00EC66D1" w:rsidRPr="003049E1" w:rsidRDefault="00EC66D1" w:rsidP="00EC66D1">
                  <w:pPr>
                    <w:rPr>
                      <w:rFonts w:ascii="Times New Roman" w:hAnsi="Times New Roman"/>
                      <w:sz w:val="20"/>
                      <w:lang w:eastAsia="en-GB"/>
                    </w:rPr>
                  </w:pPr>
                </w:p>
              </w:tc>
            </w:tr>
          </w:tbl>
          <w:p w14:paraId="74AD0B0A" w14:textId="77777777" w:rsidR="000815E3" w:rsidRDefault="000815E3" w:rsidP="0047631D">
            <w:pPr>
              <w:spacing w:after="120"/>
              <w:rPr>
                <w:szCs w:val="24"/>
              </w:rPr>
            </w:pPr>
          </w:p>
          <w:p w14:paraId="28B204A1" w14:textId="260FC556" w:rsidR="00EC66D1" w:rsidRDefault="00EC66D1" w:rsidP="006A3A64">
            <w:pPr>
              <w:spacing w:after="120"/>
            </w:pPr>
            <w:r w:rsidRPr="007910B2">
              <w:t>It should be noted that areas such as regional office areas are not self-contained labour markets.  A project assisted in a particular location has the potential to create benefits across a much wider area.  Northern Ireland is a relatively small place and evidence indicates that many investments draw their workforce from areas beyond regional area boundaries.  Recent information on labour mobility patterns produced by NISRA demonstrates that approximately 47% of those who work in the Belfast District Council are</w:t>
            </w:r>
            <w:r>
              <w:t>a reside in other areas.</w:t>
            </w:r>
          </w:p>
          <w:p w14:paraId="50686EDA" w14:textId="02061D0C" w:rsidR="004544B3" w:rsidRDefault="004544B3" w:rsidP="006A3A64">
            <w:pPr>
              <w:spacing w:after="120"/>
              <w:rPr>
                <w:szCs w:val="24"/>
              </w:rPr>
            </w:pPr>
            <w:r w:rsidRPr="006F31D4">
              <w:rPr>
                <w:szCs w:val="24"/>
              </w:rPr>
              <w:t xml:space="preserve">The growing number of migrant workers moving to Northern Ireland demonstrates the availability of jobs for those prepared to travel. Since District Council Areas and Parliamentary Council Areas are not self-contained labour markets, they may not be meaningful areas to analyse patterns of assistance and investment activity. Furthermore a large project assisted in a particular location has the potential to create benefits in a much wider area. </w:t>
            </w:r>
          </w:p>
          <w:tbl>
            <w:tblPr>
              <w:tblW w:w="8506" w:type="dxa"/>
              <w:tblLook w:val="04A0" w:firstRow="1" w:lastRow="0" w:firstColumn="1" w:lastColumn="0" w:noHBand="0" w:noVBand="1"/>
            </w:tblPr>
            <w:tblGrid>
              <w:gridCol w:w="3939"/>
              <w:gridCol w:w="2043"/>
              <w:gridCol w:w="2177"/>
            </w:tblGrid>
            <w:tr w:rsidR="00EC66D1" w:rsidRPr="00CF7470" w14:paraId="68EB8D5F" w14:textId="77777777" w:rsidTr="00B06DE5">
              <w:trPr>
                <w:trHeight w:val="290"/>
              </w:trPr>
              <w:tc>
                <w:tcPr>
                  <w:tcW w:w="8506" w:type="dxa"/>
                  <w:gridSpan w:val="3"/>
                  <w:tcBorders>
                    <w:top w:val="nil"/>
                    <w:left w:val="nil"/>
                    <w:bottom w:val="nil"/>
                    <w:right w:val="nil"/>
                  </w:tcBorders>
                  <w:shd w:val="clear" w:color="auto" w:fill="auto"/>
                  <w:noWrap/>
                  <w:vAlign w:val="bottom"/>
                  <w:hideMark/>
                </w:tcPr>
                <w:p w14:paraId="3351EC86" w14:textId="77777777" w:rsidR="00EC66D1" w:rsidRPr="00CF7470" w:rsidRDefault="00EC66D1" w:rsidP="00EC66D1">
                  <w:pPr>
                    <w:rPr>
                      <w:rFonts w:cs="Arial"/>
                      <w:b/>
                      <w:bCs/>
                      <w:color w:val="000000"/>
                      <w:sz w:val="20"/>
                      <w:lang w:eastAsia="en-GB"/>
                    </w:rPr>
                  </w:pPr>
                  <w:r w:rsidRPr="00CF7470">
                    <w:rPr>
                      <w:rFonts w:cs="Arial"/>
                      <w:b/>
                      <w:bCs/>
                      <w:color w:val="000000"/>
                      <w:sz w:val="20"/>
                      <w:lang w:eastAsia="en-GB"/>
                    </w:rPr>
                    <w:t>All usual residents aged 16 to 74 (excluding students) in employment and currently working in the area</w:t>
                  </w:r>
                </w:p>
              </w:tc>
            </w:tr>
            <w:tr w:rsidR="00EC66D1" w:rsidRPr="00CF7470" w14:paraId="74FDB8D4" w14:textId="77777777" w:rsidTr="00B06DE5">
              <w:trPr>
                <w:trHeight w:val="290"/>
              </w:trPr>
              <w:tc>
                <w:tcPr>
                  <w:tcW w:w="8506" w:type="dxa"/>
                  <w:gridSpan w:val="3"/>
                  <w:tcBorders>
                    <w:top w:val="nil"/>
                    <w:left w:val="nil"/>
                    <w:bottom w:val="nil"/>
                    <w:right w:val="nil"/>
                  </w:tcBorders>
                  <w:shd w:val="clear" w:color="auto" w:fill="auto"/>
                  <w:noWrap/>
                  <w:vAlign w:val="bottom"/>
                </w:tcPr>
                <w:p w14:paraId="2F9B544C" w14:textId="77777777" w:rsidR="00EC66D1" w:rsidRDefault="00EC66D1" w:rsidP="00EC66D1">
                  <w:pPr>
                    <w:rPr>
                      <w:rFonts w:cs="Arial"/>
                      <w:b/>
                      <w:bCs/>
                      <w:color w:val="000000"/>
                      <w:sz w:val="20"/>
                      <w:lang w:eastAsia="en-GB"/>
                    </w:rPr>
                  </w:pPr>
                </w:p>
              </w:tc>
            </w:tr>
            <w:tr w:rsidR="00EC66D1" w:rsidRPr="00CF7470" w14:paraId="603A2D0A" w14:textId="77777777" w:rsidTr="00B06DE5">
              <w:trPr>
                <w:trHeight w:val="530"/>
              </w:trPr>
              <w:tc>
                <w:tcPr>
                  <w:tcW w:w="4111"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44A89952" w14:textId="77777777" w:rsidR="00EC66D1" w:rsidRPr="00CF7470" w:rsidRDefault="00EC66D1" w:rsidP="00EC66D1">
                  <w:pPr>
                    <w:rPr>
                      <w:rFonts w:cs="Arial"/>
                      <w:b/>
                      <w:bCs/>
                      <w:color w:val="000000"/>
                      <w:sz w:val="20"/>
                      <w:lang w:eastAsia="en-GB"/>
                    </w:rPr>
                  </w:pPr>
                  <w:r w:rsidRPr="00CF7470">
                    <w:rPr>
                      <w:rFonts w:cs="Arial"/>
                      <w:b/>
                      <w:bCs/>
                      <w:color w:val="000000"/>
                      <w:sz w:val="20"/>
                      <w:lang w:eastAsia="en-GB"/>
                    </w:rPr>
                    <w:t>DCA of Usual Residence</w:t>
                  </w:r>
                </w:p>
              </w:tc>
              <w:tc>
                <w:tcPr>
                  <w:tcW w:w="2127" w:type="dxa"/>
                  <w:tcBorders>
                    <w:top w:val="single" w:sz="4" w:space="0" w:color="auto"/>
                    <w:left w:val="nil"/>
                    <w:bottom w:val="single" w:sz="4" w:space="0" w:color="auto"/>
                    <w:right w:val="single" w:sz="4" w:space="0" w:color="auto"/>
                  </w:tcBorders>
                  <w:shd w:val="clear" w:color="000000" w:fill="DDEBF7"/>
                  <w:vAlign w:val="bottom"/>
                  <w:hideMark/>
                </w:tcPr>
                <w:p w14:paraId="130EC5D2" w14:textId="77777777" w:rsidR="00EC66D1" w:rsidRPr="00CF7470" w:rsidRDefault="00EC66D1" w:rsidP="006A3A64">
                  <w:pPr>
                    <w:jc w:val="center"/>
                    <w:rPr>
                      <w:rFonts w:cs="Arial"/>
                      <w:b/>
                      <w:bCs/>
                      <w:color w:val="000000"/>
                      <w:sz w:val="20"/>
                      <w:lang w:eastAsia="en-GB"/>
                    </w:rPr>
                  </w:pPr>
                  <w:r w:rsidRPr="00CF7470">
                    <w:rPr>
                      <w:rFonts w:cs="Arial"/>
                      <w:b/>
                      <w:bCs/>
                      <w:color w:val="000000"/>
                      <w:sz w:val="20"/>
                      <w:lang w:eastAsia="en-GB"/>
                    </w:rPr>
                    <w:t>% Work in Resident DCA</w:t>
                  </w:r>
                </w:p>
              </w:tc>
              <w:tc>
                <w:tcPr>
                  <w:tcW w:w="2268" w:type="dxa"/>
                  <w:tcBorders>
                    <w:top w:val="single" w:sz="4" w:space="0" w:color="auto"/>
                    <w:left w:val="nil"/>
                    <w:bottom w:val="single" w:sz="4" w:space="0" w:color="auto"/>
                    <w:right w:val="single" w:sz="4" w:space="0" w:color="auto"/>
                  </w:tcBorders>
                  <w:shd w:val="clear" w:color="000000" w:fill="DDEBF7"/>
                  <w:vAlign w:val="bottom"/>
                  <w:hideMark/>
                </w:tcPr>
                <w:p w14:paraId="38C7B366" w14:textId="77777777" w:rsidR="00EC66D1" w:rsidRPr="00CF7470" w:rsidRDefault="00EC66D1" w:rsidP="006A3A64">
                  <w:pPr>
                    <w:jc w:val="center"/>
                    <w:rPr>
                      <w:rFonts w:cs="Arial"/>
                      <w:b/>
                      <w:bCs/>
                      <w:color w:val="000000"/>
                      <w:sz w:val="20"/>
                      <w:lang w:eastAsia="en-GB"/>
                    </w:rPr>
                  </w:pPr>
                  <w:r>
                    <w:rPr>
                      <w:rFonts w:cs="Arial"/>
                      <w:b/>
                      <w:bCs/>
                      <w:color w:val="000000"/>
                      <w:sz w:val="20"/>
                      <w:lang w:eastAsia="en-GB"/>
                    </w:rPr>
                    <w:t>% Reside Outside Work</w:t>
                  </w:r>
                  <w:r w:rsidRPr="00CF7470">
                    <w:rPr>
                      <w:rFonts w:cs="Arial"/>
                      <w:b/>
                      <w:bCs/>
                      <w:color w:val="000000"/>
                      <w:sz w:val="20"/>
                      <w:lang w:eastAsia="en-GB"/>
                    </w:rPr>
                    <w:t xml:space="preserve"> DCA</w:t>
                  </w:r>
                </w:p>
              </w:tc>
            </w:tr>
            <w:tr w:rsidR="00EC66D1" w:rsidRPr="00CF7470" w14:paraId="542EFB27"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2DEC26F" w14:textId="77777777" w:rsidR="00EC66D1" w:rsidRPr="00CF7470" w:rsidRDefault="00EC66D1" w:rsidP="00EC66D1">
                  <w:pPr>
                    <w:rPr>
                      <w:rFonts w:cs="Arial"/>
                      <w:color w:val="000000"/>
                      <w:sz w:val="20"/>
                      <w:lang w:eastAsia="en-GB"/>
                    </w:rPr>
                  </w:pPr>
                  <w:r w:rsidRPr="00CF7470">
                    <w:rPr>
                      <w:rFonts w:cs="Arial"/>
                      <w:color w:val="000000"/>
                      <w:sz w:val="20"/>
                      <w:lang w:eastAsia="en-GB"/>
                    </w:rPr>
                    <w:t>Antrim and Newtownabbey</w:t>
                  </w:r>
                </w:p>
              </w:tc>
              <w:tc>
                <w:tcPr>
                  <w:tcW w:w="2127" w:type="dxa"/>
                  <w:tcBorders>
                    <w:top w:val="nil"/>
                    <w:left w:val="nil"/>
                    <w:bottom w:val="single" w:sz="4" w:space="0" w:color="auto"/>
                    <w:right w:val="single" w:sz="4" w:space="0" w:color="auto"/>
                  </w:tcBorders>
                  <w:shd w:val="clear" w:color="auto" w:fill="auto"/>
                  <w:noWrap/>
                  <w:vAlign w:val="bottom"/>
                  <w:hideMark/>
                </w:tcPr>
                <w:p w14:paraId="26D5E216"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59%</w:t>
                  </w:r>
                </w:p>
              </w:tc>
              <w:tc>
                <w:tcPr>
                  <w:tcW w:w="2268" w:type="dxa"/>
                  <w:tcBorders>
                    <w:top w:val="nil"/>
                    <w:left w:val="nil"/>
                    <w:bottom w:val="single" w:sz="4" w:space="0" w:color="auto"/>
                    <w:right w:val="single" w:sz="4" w:space="0" w:color="auto"/>
                  </w:tcBorders>
                  <w:shd w:val="clear" w:color="auto" w:fill="auto"/>
                  <w:noWrap/>
                  <w:vAlign w:val="bottom"/>
                  <w:hideMark/>
                </w:tcPr>
                <w:p w14:paraId="764F1D96"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41%</w:t>
                  </w:r>
                </w:p>
              </w:tc>
            </w:tr>
            <w:tr w:rsidR="00EC66D1" w:rsidRPr="00CF7470" w14:paraId="541F5928"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965E428" w14:textId="77777777" w:rsidR="00EC66D1" w:rsidRPr="00CF7470" w:rsidRDefault="00EC66D1" w:rsidP="00EC66D1">
                  <w:pPr>
                    <w:rPr>
                      <w:rFonts w:cs="Arial"/>
                      <w:color w:val="000000"/>
                      <w:sz w:val="20"/>
                      <w:lang w:eastAsia="en-GB"/>
                    </w:rPr>
                  </w:pPr>
                  <w:r w:rsidRPr="00CF7470">
                    <w:rPr>
                      <w:rFonts w:cs="Arial"/>
                      <w:color w:val="000000"/>
                      <w:sz w:val="20"/>
                      <w:lang w:eastAsia="en-GB"/>
                    </w:rPr>
                    <w:t>Armagh City, Banbridge and Craigavon</w:t>
                  </w:r>
                </w:p>
              </w:tc>
              <w:tc>
                <w:tcPr>
                  <w:tcW w:w="2127" w:type="dxa"/>
                  <w:tcBorders>
                    <w:top w:val="nil"/>
                    <w:left w:val="nil"/>
                    <w:bottom w:val="single" w:sz="4" w:space="0" w:color="auto"/>
                    <w:right w:val="single" w:sz="4" w:space="0" w:color="auto"/>
                  </w:tcBorders>
                  <w:shd w:val="clear" w:color="auto" w:fill="auto"/>
                  <w:noWrap/>
                  <w:vAlign w:val="bottom"/>
                  <w:hideMark/>
                </w:tcPr>
                <w:p w14:paraId="44EE95F7"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85%</w:t>
                  </w:r>
                </w:p>
              </w:tc>
              <w:tc>
                <w:tcPr>
                  <w:tcW w:w="2268" w:type="dxa"/>
                  <w:tcBorders>
                    <w:top w:val="nil"/>
                    <w:left w:val="nil"/>
                    <w:bottom w:val="single" w:sz="4" w:space="0" w:color="auto"/>
                    <w:right w:val="single" w:sz="4" w:space="0" w:color="auto"/>
                  </w:tcBorders>
                  <w:shd w:val="clear" w:color="auto" w:fill="auto"/>
                  <w:noWrap/>
                  <w:vAlign w:val="bottom"/>
                  <w:hideMark/>
                </w:tcPr>
                <w:p w14:paraId="0FFC10DB"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15%</w:t>
                  </w:r>
                </w:p>
              </w:tc>
            </w:tr>
            <w:tr w:rsidR="00EC66D1" w:rsidRPr="00CF7470" w14:paraId="534D9F57"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1AC24D4" w14:textId="77777777" w:rsidR="00EC66D1" w:rsidRPr="00CF7470" w:rsidRDefault="00EC66D1" w:rsidP="00EC66D1">
                  <w:pPr>
                    <w:rPr>
                      <w:rFonts w:cs="Arial"/>
                      <w:color w:val="000000"/>
                      <w:sz w:val="20"/>
                      <w:lang w:eastAsia="en-GB"/>
                    </w:rPr>
                  </w:pPr>
                  <w:r w:rsidRPr="00CF7470">
                    <w:rPr>
                      <w:rFonts w:cs="Arial"/>
                      <w:color w:val="000000"/>
                      <w:sz w:val="20"/>
                      <w:lang w:eastAsia="en-GB"/>
                    </w:rPr>
                    <w:t>Belfast</w:t>
                  </w:r>
                </w:p>
              </w:tc>
              <w:tc>
                <w:tcPr>
                  <w:tcW w:w="2127" w:type="dxa"/>
                  <w:tcBorders>
                    <w:top w:val="nil"/>
                    <w:left w:val="nil"/>
                    <w:bottom w:val="single" w:sz="4" w:space="0" w:color="auto"/>
                    <w:right w:val="single" w:sz="4" w:space="0" w:color="auto"/>
                  </w:tcBorders>
                  <w:shd w:val="clear" w:color="auto" w:fill="auto"/>
                  <w:noWrap/>
                  <w:vAlign w:val="bottom"/>
                  <w:hideMark/>
                </w:tcPr>
                <w:p w14:paraId="540DB5ED"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53%</w:t>
                  </w:r>
                </w:p>
              </w:tc>
              <w:tc>
                <w:tcPr>
                  <w:tcW w:w="2268" w:type="dxa"/>
                  <w:tcBorders>
                    <w:top w:val="nil"/>
                    <w:left w:val="nil"/>
                    <w:bottom w:val="single" w:sz="4" w:space="0" w:color="auto"/>
                    <w:right w:val="single" w:sz="4" w:space="0" w:color="auto"/>
                  </w:tcBorders>
                  <w:shd w:val="clear" w:color="auto" w:fill="auto"/>
                  <w:noWrap/>
                  <w:vAlign w:val="bottom"/>
                  <w:hideMark/>
                </w:tcPr>
                <w:p w14:paraId="2D0927EE"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47%</w:t>
                  </w:r>
                </w:p>
              </w:tc>
            </w:tr>
            <w:tr w:rsidR="00EC66D1" w:rsidRPr="00CF7470" w14:paraId="289535F7"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3E6AA30" w14:textId="77777777" w:rsidR="00EC66D1" w:rsidRPr="00CF7470" w:rsidRDefault="00EC66D1" w:rsidP="00EC66D1">
                  <w:pPr>
                    <w:rPr>
                      <w:rFonts w:cs="Arial"/>
                      <w:color w:val="000000"/>
                      <w:sz w:val="20"/>
                      <w:lang w:eastAsia="en-GB"/>
                    </w:rPr>
                  </w:pPr>
                  <w:r w:rsidRPr="00CF7470">
                    <w:rPr>
                      <w:rFonts w:cs="Arial"/>
                      <w:color w:val="000000"/>
                      <w:sz w:val="20"/>
                      <w:lang w:eastAsia="en-GB"/>
                    </w:rPr>
                    <w:t>Causeway Coast and Glens</w:t>
                  </w:r>
                </w:p>
              </w:tc>
              <w:tc>
                <w:tcPr>
                  <w:tcW w:w="2127" w:type="dxa"/>
                  <w:tcBorders>
                    <w:top w:val="nil"/>
                    <w:left w:val="nil"/>
                    <w:bottom w:val="single" w:sz="4" w:space="0" w:color="auto"/>
                    <w:right w:val="single" w:sz="4" w:space="0" w:color="auto"/>
                  </w:tcBorders>
                  <w:shd w:val="clear" w:color="auto" w:fill="auto"/>
                  <w:noWrap/>
                  <w:vAlign w:val="bottom"/>
                  <w:hideMark/>
                </w:tcPr>
                <w:p w14:paraId="231BEE9F"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90%</w:t>
                  </w:r>
                </w:p>
              </w:tc>
              <w:tc>
                <w:tcPr>
                  <w:tcW w:w="2268" w:type="dxa"/>
                  <w:tcBorders>
                    <w:top w:val="nil"/>
                    <w:left w:val="nil"/>
                    <w:bottom w:val="single" w:sz="4" w:space="0" w:color="auto"/>
                    <w:right w:val="single" w:sz="4" w:space="0" w:color="auto"/>
                  </w:tcBorders>
                  <w:shd w:val="clear" w:color="auto" w:fill="auto"/>
                  <w:noWrap/>
                  <w:vAlign w:val="bottom"/>
                  <w:hideMark/>
                </w:tcPr>
                <w:p w14:paraId="019E14EB"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10%</w:t>
                  </w:r>
                </w:p>
              </w:tc>
            </w:tr>
            <w:tr w:rsidR="00EC66D1" w:rsidRPr="00CF7470" w14:paraId="7C82B723"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F442037" w14:textId="77777777" w:rsidR="00EC66D1" w:rsidRPr="00CF7470" w:rsidRDefault="00EC66D1" w:rsidP="00EC66D1">
                  <w:pPr>
                    <w:rPr>
                      <w:rFonts w:cs="Arial"/>
                      <w:color w:val="000000"/>
                      <w:sz w:val="20"/>
                      <w:lang w:eastAsia="en-GB"/>
                    </w:rPr>
                  </w:pPr>
                  <w:r w:rsidRPr="00CF7470">
                    <w:rPr>
                      <w:rFonts w:cs="Arial"/>
                      <w:color w:val="000000"/>
                      <w:sz w:val="20"/>
                      <w:lang w:eastAsia="en-GB"/>
                    </w:rPr>
                    <w:t>Derry City and Strabane</w:t>
                  </w:r>
                </w:p>
              </w:tc>
              <w:tc>
                <w:tcPr>
                  <w:tcW w:w="2127" w:type="dxa"/>
                  <w:tcBorders>
                    <w:top w:val="nil"/>
                    <w:left w:val="nil"/>
                    <w:bottom w:val="single" w:sz="4" w:space="0" w:color="auto"/>
                    <w:right w:val="single" w:sz="4" w:space="0" w:color="auto"/>
                  </w:tcBorders>
                  <w:shd w:val="clear" w:color="auto" w:fill="auto"/>
                  <w:noWrap/>
                  <w:vAlign w:val="bottom"/>
                  <w:hideMark/>
                </w:tcPr>
                <w:p w14:paraId="7394E15D"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87%</w:t>
                  </w:r>
                </w:p>
              </w:tc>
              <w:tc>
                <w:tcPr>
                  <w:tcW w:w="2268" w:type="dxa"/>
                  <w:tcBorders>
                    <w:top w:val="nil"/>
                    <w:left w:val="nil"/>
                    <w:bottom w:val="single" w:sz="4" w:space="0" w:color="auto"/>
                    <w:right w:val="single" w:sz="4" w:space="0" w:color="auto"/>
                  </w:tcBorders>
                  <w:shd w:val="clear" w:color="auto" w:fill="auto"/>
                  <w:noWrap/>
                  <w:vAlign w:val="bottom"/>
                  <w:hideMark/>
                </w:tcPr>
                <w:p w14:paraId="3196AD4A"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13%</w:t>
                  </w:r>
                </w:p>
              </w:tc>
            </w:tr>
            <w:tr w:rsidR="00EC66D1" w:rsidRPr="00CF7470" w14:paraId="42A09E27"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DB8AFF4" w14:textId="77777777" w:rsidR="00EC66D1" w:rsidRPr="00CF7470" w:rsidRDefault="00EC66D1" w:rsidP="00EC66D1">
                  <w:pPr>
                    <w:rPr>
                      <w:rFonts w:cs="Arial"/>
                      <w:color w:val="000000"/>
                      <w:sz w:val="20"/>
                      <w:lang w:eastAsia="en-GB"/>
                    </w:rPr>
                  </w:pPr>
                  <w:r w:rsidRPr="00CF7470">
                    <w:rPr>
                      <w:rFonts w:cs="Arial"/>
                      <w:color w:val="000000"/>
                      <w:sz w:val="20"/>
                      <w:lang w:eastAsia="en-GB"/>
                    </w:rPr>
                    <w:t>Fermanagh and Omagh</w:t>
                  </w:r>
                </w:p>
              </w:tc>
              <w:tc>
                <w:tcPr>
                  <w:tcW w:w="2127" w:type="dxa"/>
                  <w:tcBorders>
                    <w:top w:val="nil"/>
                    <w:left w:val="nil"/>
                    <w:bottom w:val="single" w:sz="4" w:space="0" w:color="auto"/>
                    <w:right w:val="single" w:sz="4" w:space="0" w:color="auto"/>
                  </w:tcBorders>
                  <w:shd w:val="clear" w:color="auto" w:fill="auto"/>
                  <w:noWrap/>
                  <w:vAlign w:val="bottom"/>
                  <w:hideMark/>
                </w:tcPr>
                <w:p w14:paraId="7142EF64"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89%</w:t>
                  </w:r>
                </w:p>
              </w:tc>
              <w:tc>
                <w:tcPr>
                  <w:tcW w:w="2268" w:type="dxa"/>
                  <w:tcBorders>
                    <w:top w:val="nil"/>
                    <w:left w:val="nil"/>
                    <w:bottom w:val="single" w:sz="4" w:space="0" w:color="auto"/>
                    <w:right w:val="single" w:sz="4" w:space="0" w:color="auto"/>
                  </w:tcBorders>
                  <w:shd w:val="clear" w:color="auto" w:fill="auto"/>
                  <w:noWrap/>
                  <w:vAlign w:val="bottom"/>
                  <w:hideMark/>
                </w:tcPr>
                <w:p w14:paraId="2FE6C1AC"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11%</w:t>
                  </w:r>
                </w:p>
              </w:tc>
            </w:tr>
            <w:tr w:rsidR="00EC66D1" w:rsidRPr="00CF7470" w14:paraId="083D4AF6"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6E020A0" w14:textId="77777777" w:rsidR="00EC66D1" w:rsidRPr="00CF7470" w:rsidRDefault="00EC66D1" w:rsidP="00EC66D1">
                  <w:pPr>
                    <w:rPr>
                      <w:rFonts w:cs="Arial"/>
                      <w:color w:val="000000"/>
                      <w:sz w:val="20"/>
                      <w:lang w:eastAsia="en-GB"/>
                    </w:rPr>
                  </w:pPr>
                  <w:r w:rsidRPr="00CF7470">
                    <w:rPr>
                      <w:rFonts w:cs="Arial"/>
                      <w:color w:val="000000"/>
                      <w:sz w:val="20"/>
                      <w:lang w:eastAsia="en-GB"/>
                    </w:rPr>
                    <w:t>Lisburn and Castlereagh</w:t>
                  </w:r>
                </w:p>
              </w:tc>
              <w:tc>
                <w:tcPr>
                  <w:tcW w:w="2127" w:type="dxa"/>
                  <w:tcBorders>
                    <w:top w:val="nil"/>
                    <w:left w:val="nil"/>
                    <w:bottom w:val="single" w:sz="4" w:space="0" w:color="auto"/>
                    <w:right w:val="single" w:sz="4" w:space="0" w:color="auto"/>
                  </w:tcBorders>
                  <w:shd w:val="clear" w:color="auto" w:fill="auto"/>
                  <w:noWrap/>
                  <w:vAlign w:val="bottom"/>
                  <w:hideMark/>
                </w:tcPr>
                <w:p w14:paraId="7F506786"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57%</w:t>
                  </w:r>
                </w:p>
              </w:tc>
              <w:tc>
                <w:tcPr>
                  <w:tcW w:w="2268" w:type="dxa"/>
                  <w:tcBorders>
                    <w:top w:val="nil"/>
                    <w:left w:val="nil"/>
                    <w:bottom w:val="single" w:sz="4" w:space="0" w:color="auto"/>
                    <w:right w:val="single" w:sz="4" w:space="0" w:color="auto"/>
                  </w:tcBorders>
                  <w:shd w:val="clear" w:color="auto" w:fill="auto"/>
                  <w:noWrap/>
                  <w:vAlign w:val="bottom"/>
                  <w:hideMark/>
                </w:tcPr>
                <w:p w14:paraId="4AA071DF"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43%</w:t>
                  </w:r>
                </w:p>
              </w:tc>
            </w:tr>
            <w:tr w:rsidR="00EC66D1" w:rsidRPr="00CF7470" w14:paraId="3CC571BA"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27175C4" w14:textId="77777777" w:rsidR="00EC66D1" w:rsidRPr="00CF7470" w:rsidRDefault="00EC66D1" w:rsidP="00EC66D1">
                  <w:pPr>
                    <w:rPr>
                      <w:rFonts w:cs="Arial"/>
                      <w:color w:val="000000"/>
                      <w:sz w:val="20"/>
                      <w:lang w:eastAsia="en-GB"/>
                    </w:rPr>
                  </w:pPr>
                  <w:r w:rsidRPr="00CF7470">
                    <w:rPr>
                      <w:rFonts w:cs="Arial"/>
                      <w:color w:val="000000"/>
                      <w:sz w:val="20"/>
                      <w:lang w:eastAsia="en-GB"/>
                    </w:rPr>
                    <w:t>Mid and East Antrim</w:t>
                  </w:r>
                </w:p>
              </w:tc>
              <w:tc>
                <w:tcPr>
                  <w:tcW w:w="2127" w:type="dxa"/>
                  <w:tcBorders>
                    <w:top w:val="nil"/>
                    <w:left w:val="nil"/>
                    <w:bottom w:val="single" w:sz="4" w:space="0" w:color="auto"/>
                    <w:right w:val="single" w:sz="4" w:space="0" w:color="auto"/>
                  </w:tcBorders>
                  <w:shd w:val="clear" w:color="auto" w:fill="auto"/>
                  <w:noWrap/>
                  <w:vAlign w:val="bottom"/>
                  <w:hideMark/>
                </w:tcPr>
                <w:p w14:paraId="45BFB519"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76%</w:t>
                  </w:r>
                </w:p>
              </w:tc>
              <w:tc>
                <w:tcPr>
                  <w:tcW w:w="2268" w:type="dxa"/>
                  <w:tcBorders>
                    <w:top w:val="nil"/>
                    <w:left w:val="nil"/>
                    <w:bottom w:val="single" w:sz="4" w:space="0" w:color="auto"/>
                    <w:right w:val="single" w:sz="4" w:space="0" w:color="auto"/>
                  </w:tcBorders>
                  <w:shd w:val="clear" w:color="auto" w:fill="auto"/>
                  <w:noWrap/>
                  <w:vAlign w:val="bottom"/>
                  <w:hideMark/>
                </w:tcPr>
                <w:p w14:paraId="66935234"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24%</w:t>
                  </w:r>
                </w:p>
              </w:tc>
            </w:tr>
            <w:tr w:rsidR="00EC66D1" w:rsidRPr="00CF7470" w14:paraId="731578FE"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DA8C86E" w14:textId="77777777" w:rsidR="00EC66D1" w:rsidRPr="00CF7470" w:rsidRDefault="00EC66D1" w:rsidP="00EC66D1">
                  <w:pPr>
                    <w:rPr>
                      <w:rFonts w:cs="Arial"/>
                      <w:color w:val="000000"/>
                      <w:sz w:val="20"/>
                      <w:lang w:eastAsia="en-GB"/>
                    </w:rPr>
                  </w:pPr>
                  <w:r w:rsidRPr="00CF7470">
                    <w:rPr>
                      <w:rFonts w:cs="Arial"/>
                      <w:color w:val="000000"/>
                      <w:sz w:val="20"/>
                      <w:lang w:eastAsia="en-GB"/>
                    </w:rPr>
                    <w:t>Mid Ulster</w:t>
                  </w:r>
                </w:p>
              </w:tc>
              <w:tc>
                <w:tcPr>
                  <w:tcW w:w="2127" w:type="dxa"/>
                  <w:tcBorders>
                    <w:top w:val="nil"/>
                    <w:left w:val="nil"/>
                    <w:bottom w:val="single" w:sz="4" w:space="0" w:color="auto"/>
                    <w:right w:val="single" w:sz="4" w:space="0" w:color="auto"/>
                  </w:tcBorders>
                  <w:shd w:val="clear" w:color="auto" w:fill="auto"/>
                  <w:noWrap/>
                  <w:vAlign w:val="bottom"/>
                  <w:hideMark/>
                </w:tcPr>
                <w:p w14:paraId="4F1E1853"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84%</w:t>
                  </w:r>
                </w:p>
              </w:tc>
              <w:tc>
                <w:tcPr>
                  <w:tcW w:w="2268" w:type="dxa"/>
                  <w:tcBorders>
                    <w:top w:val="nil"/>
                    <w:left w:val="nil"/>
                    <w:bottom w:val="single" w:sz="4" w:space="0" w:color="auto"/>
                    <w:right w:val="single" w:sz="4" w:space="0" w:color="auto"/>
                  </w:tcBorders>
                  <w:shd w:val="clear" w:color="auto" w:fill="auto"/>
                  <w:noWrap/>
                  <w:vAlign w:val="bottom"/>
                  <w:hideMark/>
                </w:tcPr>
                <w:p w14:paraId="50980570"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16%</w:t>
                  </w:r>
                </w:p>
              </w:tc>
            </w:tr>
            <w:tr w:rsidR="00EC66D1" w:rsidRPr="00CF7470" w14:paraId="64D6C4BD"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9CFAA47" w14:textId="77777777" w:rsidR="00EC66D1" w:rsidRPr="00CF7470" w:rsidRDefault="00EC66D1" w:rsidP="00EC66D1">
                  <w:pPr>
                    <w:rPr>
                      <w:rFonts w:cs="Arial"/>
                      <w:color w:val="000000"/>
                      <w:sz w:val="20"/>
                      <w:lang w:eastAsia="en-GB"/>
                    </w:rPr>
                  </w:pPr>
                  <w:r w:rsidRPr="00CF7470">
                    <w:rPr>
                      <w:rFonts w:cs="Arial"/>
                      <w:color w:val="000000"/>
                      <w:sz w:val="20"/>
                      <w:lang w:eastAsia="en-GB"/>
                    </w:rPr>
                    <w:t>Newry, Mourne and Down</w:t>
                  </w:r>
                </w:p>
              </w:tc>
              <w:tc>
                <w:tcPr>
                  <w:tcW w:w="2127" w:type="dxa"/>
                  <w:tcBorders>
                    <w:top w:val="nil"/>
                    <w:left w:val="nil"/>
                    <w:bottom w:val="single" w:sz="4" w:space="0" w:color="auto"/>
                    <w:right w:val="single" w:sz="4" w:space="0" w:color="auto"/>
                  </w:tcBorders>
                  <w:shd w:val="clear" w:color="auto" w:fill="auto"/>
                  <w:noWrap/>
                  <w:vAlign w:val="bottom"/>
                  <w:hideMark/>
                </w:tcPr>
                <w:p w14:paraId="4EC41EF6"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87%</w:t>
                  </w:r>
                </w:p>
              </w:tc>
              <w:tc>
                <w:tcPr>
                  <w:tcW w:w="2268" w:type="dxa"/>
                  <w:tcBorders>
                    <w:top w:val="nil"/>
                    <w:left w:val="nil"/>
                    <w:bottom w:val="single" w:sz="4" w:space="0" w:color="auto"/>
                    <w:right w:val="single" w:sz="4" w:space="0" w:color="auto"/>
                  </w:tcBorders>
                  <w:shd w:val="clear" w:color="auto" w:fill="auto"/>
                  <w:noWrap/>
                  <w:vAlign w:val="bottom"/>
                  <w:hideMark/>
                </w:tcPr>
                <w:p w14:paraId="54E4B3E9"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13%</w:t>
                  </w:r>
                </w:p>
              </w:tc>
            </w:tr>
            <w:tr w:rsidR="00EC66D1" w:rsidRPr="00CF7470" w14:paraId="58839BB9" w14:textId="77777777" w:rsidTr="00B06DE5">
              <w:trPr>
                <w:trHeight w:val="2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E46715C" w14:textId="77777777" w:rsidR="00EC66D1" w:rsidRPr="00CF7470" w:rsidRDefault="00EC66D1" w:rsidP="00EC66D1">
                  <w:pPr>
                    <w:rPr>
                      <w:rFonts w:cs="Arial"/>
                      <w:color w:val="000000"/>
                      <w:sz w:val="20"/>
                      <w:lang w:eastAsia="en-GB"/>
                    </w:rPr>
                  </w:pPr>
                  <w:r w:rsidRPr="00CF7470">
                    <w:rPr>
                      <w:rFonts w:cs="Arial"/>
                      <w:color w:val="000000"/>
                      <w:sz w:val="20"/>
                      <w:lang w:eastAsia="en-GB"/>
                    </w:rPr>
                    <w:t>Ards and North Down</w:t>
                  </w:r>
                </w:p>
              </w:tc>
              <w:tc>
                <w:tcPr>
                  <w:tcW w:w="2127" w:type="dxa"/>
                  <w:tcBorders>
                    <w:top w:val="nil"/>
                    <w:left w:val="nil"/>
                    <w:bottom w:val="single" w:sz="4" w:space="0" w:color="auto"/>
                    <w:right w:val="single" w:sz="4" w:space="0" w:color="auto"/>
                  </w:tcBorders>
                  <w:shd w:val="clear" w:color="auto" w:fill="auto"/>
                  <w:noWrap/>
                  <w:vAlign w:val="bottom"/>
                  <w:hideMark/>
                </w:tcPr>
                <w:p w14:paraId="0F77A314"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85%</w:t>
                  </w:r>
                </w:p>
              </w:tc>
              <w:tc>
                <w:tcPr>
                  <w:tcW w:w="2268" w:type="dxa"/>
                  <w:tcBorders>
                    <w:top w:val="nil"/>
                    <w:left w:val="nil"/>
                    <w:bottom w:val="single" w:sz="4" w:space="0" w:color="auto"/>
                    <w:right w:val="single" w:sz="4" w:space="0" w:color="auto"/>
                  </w:tcBorders>
                  <w:shd w:val="clear" w:color="auto" w:fill="auto"/>
                  <w:noWrap/>
                  <w:vAlign w:val="bottom"/>
                  <w:hideMark/>
                </w:tcPr>
                <w:p w14:paraId="7BB7E2C5" w14:textId="77777777" w:rsidR="00EC66D1" w:rsidRPr="00CF7470" w:rsidRDefault="00EC66D1" w:rsidP="006A3A64">
                  <w:pPr>
                    <w:jc w:val="center"/>
                    <w:rPr>
                      <w:rFonts w:cs="Arial"/>
                      <w:color w:val="000000"/>
                      <w:sz w:val="20"/>
                      <w:lang w:eastAsia="en-GB"/>
                    </w:rPr>
                  </w:pPr>
                  <w:r w:rsidRPr="00CF7470">
                    <w:rPr>
                      <w:rFonts w:cs="Arial"/>
                      <w:color w:val="000000"/>
                      <w:sz w:val="20"/>
                      <w:lang w:eastAsia="en-GB"/>
                    </w:rPr>
                    <w:t>15%</w:t>
                  </w:r>
                </w:p>
              </w:tc>
            </w:tr>
            <w:tr w:rsidR="00EC66D1" w:rsidRPr="00CF7470" w14:paraId="4990E3CE" w14:textId="77777777" w:rsidTr="00B06DE5">
              <w:trPr>
                <w:trHeight w:val="290"/>
              </w:trPr>
              <w:tc>
                <w:tcPr>
                  <w:tcW w:w="4111" w:type="dxa"/>
                  <w:tcBorders>
                    <w:top w:val="nil"/>
                    <w:left w:val="nil"/>
                    <w:bottom w:val="nil"/>
                    <w:right w:val="nil"/>
                  </w:tcBorders>
                  <w:shd w:val="clear" w:color="auto" w:fill="auto"/>
                  <w:noWrap/>
                  <w:vAlign w:val="bottom"/>
                  <w:hideMark/>
                </w:tcPr>
                <w:p w14:paraId="4BF9E14C" w14:textId="77777777" w:rsidR="00EC66D1" w:rsidRPr="00CF7470" w:rsidRDefault="00EC66D1" w:rsidP="00EC66D1">
                  <w:pPr>
                    <w:rPr>
                      <w:rFonts w:cs="Arial"/>
                      <w:b/>
                      <w:bCs/>
                      <w:color w:val="000000"/>
                      <w:sz w:val="20"/>
                      <w:lang w:eastAsia="en-GB"/>
                    </w:rPr>
                  </w:pPr>
                  <w:r w:rsidRPr="00CF7470">
                    <w:rPr>
                      <w:rFonts w:cs="Arial"/>
                      <w:b/>
                      <w:bCs/>
                      <w:color w:val="000000"/>
                      <w:sz w:val="20"/>
                      <w:lang w:eastAsia="en-GB"/>
                    </w:rPr>
                    <w:t>Notes:</w:t>
                  </w:r>
                </w:p>
              </w:tc>
              <w:tc>
                <w:tcPr>
                  <w:tcW w:w="2127" w:type="dxa"/>
                  <w:tcBorders>
                    <w:top w:val="nil"/>
                    <w:left w:val="nil"/>
                    <w:bottom w:val="nil"/>
                    <w:right w:val="nil"/>
                  </w:tcBorders>
                  <w:shd w:val="clear" w:color="auto" w:fill="auto"/>
                  <w:noWrap/>
                  <w:vAlign w:val="bottom"/>
                  <w:hideMark/>
                </w:tcPr>
                <w:p w14:paraId="4C44F953" w14:textId="77777777" w:rsidR="00EC66D1" w:rsidRPr="00CF7470" w:rsidRDefault="00EC66D1" w:rsidP="006A3A64">
                  <w:pPr>
                    <w:jc w:val="center"/>
                    <w:rPr>
                      <w:rFonts w:cs="Arial"/>
                      <w:b/>
                      <w:bCs/>
                      <w:color w:val="000000"/>
                      <w:sz w:val="20"/>
                      <w:lang w:eastAsia="en-GB"/>
                    </w:rPr>
                  </w:pPr>
                </w:p>
              </w:tc>
              <w:tc>
                <w:tcPr>
                  <w:tcW w:w="2268" w:type="dxa"/>
                  <w:tcBorders>
                    <w:top w:val="nil"/>
                    <w:left w:val="nil"/>
                    <w:bottom w:val="nil"/>
                    <w:right w:val="nil"/>
                  </w:tcBorders>
                  <w:shd w:val="clear" w:color="auto" w:fill="auto"/>
                  <w:noWrap/>
                  <w:vAlign w:val="bottom"/>
                  <w:hideMark/>
                </w:tcPr>
                <w:p w14:paraId="0D1DC164" w14:textId="77777777" w:rsidR="00EC66D1" w:rsidRPr="00CF7470" w:rsidRDefault="00EC66D1" w:rsidP="006A3A64">
                  <w:pPr>
                    <w:jc w:val="center"/>
                    <w:rPr>
                      <w:rFonts w:ascii="Times New Roman" w:hAnsi="Times New Roman"/>
                      <w:sz w:val="20"/>
                      <w:lang w:eastAsia="en-GB"/>
                    </w:rPr>
                  </w:pPr>
                </w:p>
              </w:tc>
            </w:tr>
            <w:tr w:rsidR="00EC66D1" w:rsidRPr="00CF7470" w14:paraId="11DC6D0E" w14:textId="77777777" w:rsidTr="00B06DE5">
              <w:trPr>
                <w:trHeight w:val="290"/>
              </w:trPr>
              <w:tc>
                <w:tcPr>
                  <w:tcW w:w="8506" w:type="dxa"/>
                  <w:gridSpan w:val="3"/>
                  <w:tcBorders>
                    <w:top w:val="nil"/>
                    <w:left w:val="nil"/>
                    <w:bottom w:val="nil"/>
                    <w:right w:val="nil"/>
                  </w:tcBorders>
                  <w:shd w:val="clear" w:color="auto" w:fill="auto"/>
                  <w:noWrap/>
                  <w:vAlign w:val="bottom"/>
                  <w:hideMark/>
                </w:tcPr>
                <w:p w14:paraId="568044CE" w14:textId="77777777" w:rsidR="00EC66D1" w:rsidRPr="00CF7470" w:rsidRDefault="00EC66D1" w:rsidP="00EC66D1">
                  <w:pPr>
                    <w:rPr>
                      <w:rFonts w:cs="Arial"/>
                      <w:b/>
                      <w:bCs/>
                      <w:color w:val="000000"/>
                      <w:sz w:val="20"/>
                      <w:lang w:eastAsia="en-GB"/>
                    </w:rPr>
                  </w:pPr>
                  <w:r w:rsidRPr="00CF7470">
                    <w:rPr>
                      <w:rFonts w:cs="Arial"/>
                      <w:b/>
                      <w:bCs/>
                      <w:color w:val="000000"/>
                      <w:sz w:val="20"/>
                      <w:lang w:eastAsia="en-GB"/>
                    </w:rPr>
                    <w:t>1. The workplace population in an area does not include those persons working in the area who live outside Northern Ireland.</w:t>
                  </w:r>
                </w:p>
              </w:tc>
            </w:tr>
            <w:tr w:rsidR="00EC66D1" w:rsidRPr="00CF7470" w14:paraId="237713FF" w14:textId="77777777" w:rsidTr="00B06DE5">
              <w:trPr>
                <w:trHeight w:val="290"/>
              </w:trPr>
              <w:tc>
                <w:tcPr>
                  <w:tcW w:w="6238" w:type="dxa"/>
                  <w:gridSpan w:val="2"/>
                  <w:tcBorders>
                    <w:top w:val="nil"/>
                    <w:left w:val="nil"/>
                    <w:bottom w:val="nil"/>
                    <w:right w:val="nil"/>
                  </w:tcBorders>
                  <w:shd w:val="clear" w:color="auto" w:fill="auto"/>
                  <w:noWrap/>
                  <w:vAlign w:val="bottom"/>
                  <w:hideMark/>
                </w:tcPr>
                <w:p w14:paraId="505059DF" w14:textId="77777777" w:rsidR="00EC66D1" w:rsidRPr="00CF7470" w:rsidRDefault="00EC66D1" w:rsidP="00EC66D1">
                  <w:pPr>
                    <w:rPr>
                      <w:rFonts w:cs="Arial"/>
                      <w:b/>
                      <w:bCs/>
                      <w:color w:val="000000"/>
                      <w:sz w:val="20"/>
                      <w:lang w:eastAsia="en-GB"/>
                    </w:rPr>
                  </w:pPr>
                  <w:r w:rsidRPr="00CF7470">
                    <w:rPr>
                      <w:rFonts w:cs="Arial"/>
                      <w:b/>
                      <w:bCs/>
                      <w:color w:val="000000"/>
                      <w:sz w:val="20"/>
                      <w:lang w:eastAsia="en-GB"/>
                    </w:rPr>
                    <w:t>2. No fixed place is counted as if working in the area.</w:t>
                  </w:r>
                </w:p>
              </w:tc>
              <w:tc>
                <w:tcPr>
                  <w:tcW w:w="2268" w:type="dxa"/>
                  <w:tcBorders>
                    <w:top w:val="nil"/>
                    <w:left w:val="nil"/>
                    <w:bottom w:val="nil"/>
                    <w:right w:val="nil"/>
                  </w:tcBorders>
                  <w:shd w:val="clear" w:color="auto" w:fill="auto"/>
                  <w:noWrap/>
                  <w:vAlign w:val="bottom"/>
                  <w:hideMark/>
                </w:tcPr>
                <w:p w14:paraId="3594AB29" w14:textId="77777777" w:rsidR="00EC66D1" w:rsidRPr="00CF7470" w:rsidRDefault="00EC66D1" w:rsidP="00EC66D1">
                  <w:pPr>
                    <w:rPr>
                      <w:rFonts w:cs="Arial"/>
                      <w:b/>
                      <w:bCs/>
                      <w:color w:val="000000"/>
                      <w:sz w:val="20"/>
                      <w:lang w:eastAsia="en-GB"/>
                    </w:rPr>
                  </w:pPr>
                </w:p>
              </w:tc>
            </w:tr>
            <w:tr w:rsidR="00EC66D1" w:rsidRPr="00CF7470" w14:paraId="7AD0EBB2" w14:textId="77777777" w:rsidTr="00B06DE5">
              <w:trPr>
                <w:trHeight w:val="290"/>
              </w:trPr>
              <w:tc>
                <w:tcPr>
                  <w:tcW w:w="8506" w:type="dxa"/>
                  <w:gridSpan w:val="3"/>
                  <w:tcBorders>
                    <w:top w:val="nil"/>
                    <w:left w:val="nil"/>
                    <w:bottom w:val="nil"/>
                    <w:right w:val="nil"/>
                  </w:tcBorders>
                  <w:shd w:val="clear" w:color="auto" w:fill="auto"/>
                  <w:noWrap/>
                  <w:vAlign w:val="bottom"/>
                  <w:hideMark/>
                </w:tcPr>
                <w:p w14:paraId="2A46D7C8" w14:textId="77777777" w:rsidR="00EC66D1" w:rsidRPr="00CF7470" w:rsidRDefault="00EC66D1" w:rsidP="00EC66D1">
                  <w:pPr>
                    <w:rPr>
                      <w:rFonts w:cs="Arial"/>
                      <w:i/>
                      <w:iCs/>
                      <w:color w:val="000000"/>
                      <w:sz w:val="18"/>
                      <w:szCs w:val="18"/>
                      <w:lang w:eastAsia="en-GB"/>
                    </w:rPr>
                  </w:pPr>
                  <w:r w:rsidRPr="00CF7470">
                    <w:rPr>
                      <w:rFonts w:cs="Arial"/>
                      <w:i/>
                      <w:iCs/>
                      <w:color w:val="000000"/>
                      <w:sz w:val="18"/>
                      <w:szCs w:val="18"/>
                      <w:lang w:eastAsia="en-GB"/>
                    </w:rPr>
                    <w:t>Source:  NISRA: Census 2011: Travel to work or place of study</w:t>
                  </w:r>
                </w:p>
              </w:tc>
            </w:tr>
          </w:tbl>
          <w:p w14:paraId="3BEEF5EA" w14:textId="77777777" w:rsidR="00EC66D1" w:rsidRPr="006F31D4" w:rsidRDefault="00EC66D1" w:rsidP="0047631D">
            <w:pPr>
              <w:spacing w:after="120"/>
              <w:rPr>
                <w:szCs w:val="24"/>
              </w:rPr>
            </w:pPr>
          </w:p>
          <w:p w14:paraId="094CEF4F" w14:textId="59AEE751" w:rsidR="004544B3" w:rsidRPr="00510AC1" w:rsidRDefault="004544B3" w:rsidP="00EF4A2D">
            <w:pPr>
              <w:spacing w:after="120"/>
              <w:rPr>
                <w:rFonts w:cs="Arial"/>
                <w:szCs w:val="24"/>
                <w:lang w:val="en-US" w:eastAsia="en-GB"/>
              </w:rPr>
            </w:pPr>
            <w:r>
              <w:rPr>
                <w:szCs w:val="24"/>
              </w:rPr>
              <w:t>In conclusion</w:t>
            </w:r>
            <w:r w:rsidRPr="006F31D4">
              <w:rPr>
                <w:szCs w:val="24"/>
              </w:rPr>
              <w:t>,</w:t>
            </w:r>
            <w:r>
              <w:rPr>
                <w:szCs w:val="24"/>
              </w:rPr>
              <w:t xml:space="preserve"> </w:t>
            </w:r>
            <w:r w:rsidR="00EF4A2D">
              <w:rPr>
                <w:szCs w:val="24"/>
              </w:rPr>
              <w:t xml:space="preserve">under the leadership of DfE, </w:t>
            </w:r>
            <w:r>
              <w:rPr>
                <w:rFonts w:cs="Arial"/>
                <w:szCs w:val="24"/>
                <w:lang w:val="en-US" w:eastAsia="en-GB"/>
              </w:rPr>
              <w:t>Invest NI continues to make</w:t>
            </w:r>
            <w:r w:rsidRPr="00F02559">
              <w:rPr>
                <w:rFonts w:cs="Arial"/>
                <w:szCs w:val="24"/>
                <w:lang w:val="en-US" w:eastAsia="en-GB"/>
              </w:rPr>
              <w:t xml:space="preserve"> consistent efforts to </w:t>
            </w:r>
            <w:r w:rsidR="00445AD6">
              <w:rPr>
                <w:rFonts w:cs="Arial"/>
                <w:szCs w:val="24"/>
                <w:lang w:val="en-US" w:eastAsia="en-GB"/>
              </w:rPr>
              <w:t>ameliorate</w:t>
            </w:r>
            <w:r w:rsidRPr="00F02559">
              <w:rPr>
                <w:rFonts w:cs="Arial"/>
                <w:szCs w:val="24"/>
                <w:lang w:val="en-US" w:eastAsia="en-GB"/>
              </w:rPr>
              <w:t xml:space="preserve"> </w:t>
            </w:r>
            <w:r w:rsidR="002C6FE3">
              <w:rPr>
                <w:rFonts w:cs="Arial"/>
                <w:szCs w:val="24"/>
                <w:lang w:val="en-US" w:eastAsia="en-GB"/>
              </w:rPr>
              <w:t>histori</w:t>
            </w:r>
            <w:r w:rsidR="008B2709">
              <w:rPr>
                <w:rFonts w:cs="Arial"/>
                <w:szCs w:val="24"/>
                <w:lang w:val="en-US" w:eastAsia="en-GB"/>
              </w:rPr>
              <w:t>cal inequalities in</w:t>
            </w:r>
            <w:r>
              <w:rPr>
                <w:rFonts w:cs="Arial"/>
                <w:szCs w:val="24"/>
                <w:lang w:val="en-US" w:eastAsia="en-GB"/>
              </w:rPr>
              <w:t xml:space="preserve"> levels of </w:t>
            </w:r>
            <w:r w:rsidRPr="00F02559">
              <w:rPr>
                <w:rFonts w:cs="Arial"/>
                <w:szCs w:val="24"/>
                <w:lang w:val="en-US" w:eastAsia="en-GB"/>
              </w:rPr>
              <w:t>economic inactivity</w:t>
            </w:r>
            <w:r>
              <w:rPr>
                <w:rFonts w:cs="Arial"/>
                <w:szCs w:val="24"/>
                <w:lang w:val="en-US" w:eastAsia="en-GB"/>
              </w:rPr>
              <w:t xml:space="preserve"> among groups </w:t>
            </w:r>
            <w:r w:rsidR="00FA23D0">
              <w:rPr>
                <w:rFonts w:cs="Arial"/>
                <w:szCs w:val="24"/>
                <w:lang w:val="en-US" w:eastAsia="en-GB"/>
              </w:rPr>
              <w:t>(</w:t>
            </w:r>
            <w:r w:rsidR="008B2709">
              <w:rPr>
                <w:rFonts w:cs="Arial"/>
                <w:szCs w:val="24"/>
                <w:lang w:val="en-US" w:eastAsia="en-GB"/>
              </w:rPr>
              <w:t>including</w:t>
            </w:r>
            <w:r>
              <w:rPr>
                <w:rFonts w:cs="Arial"/>
                <w:szCs w:val="24"/>
                <w:lang w:val="en-US" w:eastAsia="en-GB"/>
              </w:rPr>
              <w:t xml:space="preserve"> </w:t>
            </w:r>
            <w:r w:rsidR="00FA23D0">
              <w:rPr>
                <w:rFonts w:cs="Arial"/>
                <w:szCs w:val="24"/>
                <w:lang w:val="en-US" w:eastAsia="en-GB"/>
              </w:rPr>
              <w:t xml:space="preserve">the </w:t>
            </w:r>
            <w:r>
              <w:rPr>
                <w:rFonts w:cs="Arial"/>
                <w:szCs w:val="24"/>
                <w:lang w:val="en-US" w:eastAsia="en-GB"/>
              </w:rPr>
              <w:t>under-represent</w:t>
            </w:r>
            <w:r w:rsidR="00FA23D0">
              <w:rPr>
                <w:rFonts w:cs="Arial"/>
                <w:szCs w:val="24"/>
                <w:lang w:val="en-US" w:eastAsia="en-GB"/>
              </w:rPr>
              <w:t>at</w:t>
            </w:r>
            <w:r w:rsidR="008B2709">
              <w:rPr>
                <w:rFonts w:cs="Arial"/>
                <w:szCs w:val="24"/>
                <w:lang w:val="en-US" w:eastAsia="en-GB"/>
              </w:rPr>
              <w:t>ion</w:t>
            </w:r>
            <w:r>
              <w:rPr>
                <w:rFonts w:cs="Arial"/>
                <w:szCs w:val="24"/>
                <w:lang w:val="en-US" w:eastAsia="en-GB"/>
              </w:rPr>
              <w:t xml:space="preserve"> in the </w:t>
            </w:r>
            <w:proofErr w:type="spellStart"/>
            <w:r>
              <w:rPr>
                <w:rFonts w:cs="Arial"/>
                <w:szCs w:val="24"/>
                <w:lang w:val="en-US" w:eastAsia="en-GB"/>
              </w:rPr>
              <w:t>labour</w:t>
            </w:r>
            <w:proofErr w:type="spellEnd"/>
            <w:r>
              <w:rPr>
                <w:rFonts w:cs="Arial"/>
                <w:szCs w:val="24"/>
                <w:lang w:val="en-US" w:eastAsia="en-GB"/>
              </w:rPr>
              <w:t xml:space="preserve"> market </w:t>
            </w:r>
            <w:r w:rsidR="00445AD6">
              <w:rPr>
                <w:rFonts w:cs="Arial"/>
                <w:szCs w:val="24"/>
                <w:lang w:val="en-US" w:eastAsia="en-GB"/>
              </w:rPr>
              <w:t xml:space="preserve">of </w:t>
            </w:r>
            <w:r>
              <w:rPr>
                <w:rFonts w:cs="Arial"/>
                <w:szCs w:val="24"/>
                <w:lang w:val="en-US" w:eastAsia="en-GB"/>
              </w:rPr>
              <w:t>those with a disability, women, members of the BAME community</w:t>
            </w:r>
            <w:r w:rsidR="00445AD6">
              <w:rPr>
                <w:rFonts w:cs="Arial"/>
                <w:szCs w:val="24"/>
                <w:lang w:val="en-US" w:eastAsia="en-GB"/>
              </w:rPr>
              <w:t xml:space="preserve"> and</w:t>
            </w:r>
            <w:r w:rsidR="00E13E15">
              <w:rPr>
                <w:rFonts w:cs="Arial"/>
                <w:szCs w:val="24"/>
                <w:lang w:val="en-US" w:eastAsia="en-GB"/>
              </w:rPr>
              <w:t xml:space="preserve"> members of disadvantaged communities</w:t>
            </w:r>
            <w:r w:rsidR="00FA23D0">
              <w:rPr>
                <w:rFonts w:cs="Arial"/>
                <w:szCs w:val="24"/>
                <w:lang w:val="en-US" w:eastAsia="en-GB"/>
              </w:rPr>
              <w:t xml:space="preserve"> </w:t>
            </w:r>
            <w:r w:rsidR="00445AD6">
              <w:rPr>
                <w:rFonts w:cs="Arial"/>
                <w:szCs w:val="24"/>
                <w:lang w:val="en-US" w:eastAsia="en-GB"/>
              </w:rPr>
              <w:t>generally</w:t>
            </w:r>
            <w:r>
              <w:rPr>
                <w:rFonts w:cs="Arial"/>
                <w:szCs w:val="24"/>
                <w:lang w:val="en-US" w:eastAsia="en-GB"/>
              </w:rPr>
              <w:t xml:space="preserve">), as well as creating </w:t>
            </w:r>
            <w:r>
              <w:rPr>
                <w:rFonts w:cs="Arial"/>
                <w:szCs w:val="24"/>
                <w:lang w:val="en-US" w:eastAsia="en-GB"/>
              </w:rPr>
              <w:lastRenderedPageBreak/>
              <w:t>opportunities for younger people to enter work, and for older people and women to return to work</w:t>
            </w:r>
            <w:r w:rsidRPr="00F02559">
              <w:rPr>
                <w:rFonts w:cs="Arial"/>
                <w:szCs w:val="24"/>
                <w:lang w:val="en-US" w:eastAsia="en-GB"/>
              </w:rPr>
              <w:t>.</w:t>
            </w:r>
            <w:r w:rsidR="0077157A">
              <w:rPr>
                <w:rFonts w:cs="Arial"/>
                <w:szCs w:val="24"/>
                <w:lang w:val="en-US" w:eastAsia="en-GB"/>
              </w:rPr>
              <w:t xml:space="preserve"> </w:t>
            </w:r>
          </w:p>
        </w:tc>
      </w:tr>
    </w:tbl>
    <w:p w14:paraId="057C14AF" w14:textId="77777777" w:rsidR="004544B3" w:rsidRDefault="004544B3" w:rsidP="006C4E50">
      <w:pPr>
        <w:autoSpaceDE w:val="0"/>
        <w:autoSpaceDN w:val="0"/>
        <w:adjustRightInd w:val="0"/>
        <w:rPr>
          <w:rFonts w:cs="Arial"/>
          <w:sz w:val="28"/>
          <w:szCs w:val="28"/>
        </w:rPr>
      </w:pPr>
    </w:p>
    <w:p w14:paraId="0432297C" w14:textId="77777777" w:rsidR="004544B3" w:rsidRDefault="004544B3" w:rsidP="006C4E50">
      <w:pPr>
        <w:autoSpaceDE w:val="0"/>
        <w:autoSpaceDN w:val="0"/>
        <w:adjustRightInd w:val="0"/>
        <w:rPr>
          <w:rFonts w:cs="Arial"/>
          <w:b/>
          <w:sz w:val="28"/>
          <w:szCs w:val="28"/>
        </w:rPr>
      </w:pPr>
    </w:p>
    <w:p w14:paraId="136E3E76" w14:textId="77777777" w:rsidR="006C4E50" w:rsidRPr="00FA0121" w:rsidRDefault="006C4E50" w:rsidP="006C4E50">
      <w:pPr>
        <w:autoSpaceDE w:val="0"/>
        <w:autoSpaceDN w:val="0"/>
        <w:adjustRightInd w:val="0"/>
        <w:rPr>
          <w:rFonts w:cs="Arial"/>
          <w:b/>
          <w:sz w:val="28"/>
          <w:szCs w:val="28"/>
        </w:rPr>
      </w:pPr>
      <w:r w:rsidRPr="00FA0121">
        <w:rPr>
          <w:rFonts w:cs="Arial"/>
          <w:b/>
          <w:sz w:val="28"/>
          <w:szCs w:val="28"/>
        </w:rPr>
        <w:t>Needs, experiences and priorities</w:t>
      </w:r>
    </w:p>
    <w:p w14:paraId="075EE221" w14:textId="77777777" w:rsidR="006C4E50" w:rsidRPr="00FA0121" w:rsidRDefault="006C4E50" w:rsidP="006C4E50">
      <w:pPr>
        <w:autoSpaceDE w:val="0"/>
        <w:autoSpaceDN w:val="0"/>
        <w:adjustRightInd w:val="0"/>
        <w:rPr>
          <w:rFonts w:cs="Arial"/>
          <w:b/>
          <w:sz w:val="28"/>
          <w:szCs w:val="28"/>
        </w:rPr>
      </w:pPr>
    </w:p>
    <w:p w14:paraId="076D2497" w14:textId="77777777" w:rsidR="006C7A28" w:rsidRPr="006C7A28" w:rsidRDefault="006C7A28" w:rsidP="006C7A28">
      <w:pPr>
        <w:autoSpaceDE w:val="0"/>
        <w:autoSpaceDN w:val="0"/>
        <w:adjustRightInd w:val="0"/>
        <w:rPr>
          <w:rFonts w:cs="Arial"/>
          <w:sz w:val="28"/>
          <w:szCs w:val="28"/>
        </w:rPr>
      </w:pPr>
      <w:r w:rsidRPr="006C7A28">
        <w:rPr>
          <w:rFonts w:cs="Arial"/>
          <w:sz w:val="28"/>
          <w:szCs w:val="28"/>
        </w:rPr>
        <w:t xml:space="preserve">Taking into account the information referred to above, what are the different needs, experiences and priorities of each of the following categories, in relation to the particular policy/decision?  </w:t>
      </w:r>
    </w:p>
    <w:p w14:paraId="01216796" w14:textId="77777777" w:rsidR="006C7A28" w:rsidRPr="006C7A28" w:rsidRDefault="006C7A28" w:rsidP="006C7A28">
      <w:pPr>
        <w:autoSpaceDE w:val="0"/>
        <w:autoSpaceDN w:val="0"/>
        <w:adjustRightInd w:val="0"/>
        <w:rPr>
          <w:rFonts w:cs="Arial"/>
          <w:sz w:val="28"/>
          <w:szCs w:val="28"/>
        </w:rPr>
      </w:pPr>
    </w:p>
    <w:p w14:paraId="798F97D7" w14:textId="77777777" w:rsidR="006C7A28" w:rsidRPr="006C7A28" w:rsidRDefault="006C7A28" w:rsidP="006C7A28">
      <w:pPr>
        <w:autoSpaceDE w:val="0"/>
        <w:autoSpaceDN w:val="0"/>
        <w:adjustRightInd w:val="0"/>
        <w:rPr>
          <w:rFonts w:cs="Arial"/>
          <w:sz w:val="28"/>
          <w:szCs w:val="28"/>
        </w:rPr>
      </w:pPr>
      <w:r w:rsidRPr="006C7A28">
        <w:rPr>
          <w:rFonts w:cs="Arial"/>
          <w:sz w:val="28"/>
          <w:szCs w:val="28"/>
        </w:rPr>
        <w:t xml:space="preserve">(Specify </w:t>
      </w:r>
      <w:r w:rsidRPr="006C7A28">
        <w:rPr>
          <w:rFonts w:cs="Arial"/>
          <w:sz w:val="28"/>
          <w:szCs w:val="28"/>
          <w:u w:val="single"/>
        </w:rPr>
        <w:t>details</w:t>
      </w:r>
      <w:r w:rsidRPr="006C7A28">
        <w:rPr>
          <w:rFonts w:cs="Arial"/>
          <w:sz w:val="28"/>
          <w:szCs w:val="28"/>
        </w:rPr>
        <w:t xml:space="preserve"> of the </w:t>
      </w:r>
      <w:r w:rsidRPr="006C7A28">
        <w:rPr>
          <w:rFonts w:cs="Arial"/>
          <w:sz w:val="28"/>
          <w:szCs w:val="28"/>
          <w:u w:val="single"/>
        </w:rPr>
        <w:t>needs, experiences and priorities</w:t>
      </w:r>
      <w:r w:rsidRPr="006C7A28">
        <w:rPr>
          <w:rFonts w:cs="Arial"/>
          <w:sz w:val="28"/>
          <w:szCs w:val="28"/>
        </w:rPr>
        <w:t xml:space="preserve"> for each of the Section 75 categories below).</w:t>
      </w:r>
    </w:p>
    <w:p w14:paraId="2D82143E" w14:textId="77777777" w:rsidR="006C4E50" w:rsidRDefault="006C4E50" w:rsidP="006C4E50">
      <w:pPr>
        <w:autoSpaceDE w:val="0"/>
        <w:autoSpaceDN w:val="0"/>
        <w:adjustRightInd w:val="0"/>
        <w:rPr>
          <w:rFonts w:cs="Arial"/>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7272"/>
      </w:tblGrid>
      <w:tr w:rsidR="004544B3" w:rsidRPr="00BE0E96" w14:paraId="21C2D0CD" w14:textId="77777777" w:rsidTr="006A75E1">
        <w:trPr>
          <w:trHeight w:val="1011"/>
        </w:trPr>
        <w:tc>
          <w:tcPr>
            <w:tcW w:w="1908" w:type="dxa"/>
            <w:shd w:val="clear" w:color="auto" w:fill="C0C0C0"/>
          </w:tcPr>
          <w:p w14:paraId="724F6450" w14:textId="77777777" w:rsidR="004544B3" w:rsidRPr="006F4B15" w:rsidRDefault="004544B3" w:rsidP="006A75E1">
            <w:pPr>
              <w:spacing w:before="240" w:after="240"/>
              <w:jc w:val="center"/>
              <w:rPr>
                <w:rFonts w:cs="Arial"/>
                <w:b/>
                <w:szCs w:val="24"/>
              </w:rPr>
            </w:pPr>
            <w:r w:rsidRPr="006F4B15">
              <w:rPr>
                <w:rFonts w:cs="Arial"/>
                <w:b/>
                <w:szCs w:val="24"/>
              </w:rPr>
              <w:t xml:space="preserve">Section 75 </w:t>
            </w:r>
            <w:r>
              <w:rPr>
                <w:rFonts w:cs="Arial"/>
                <w:b/>
                <w:szCs w:val="24"/>
              </w:rPr>
              <w:t>C</w:t>
            </w:r>
            <w:r w:rsidRPr="006F4B15">
              <w:rPr>
                <w:rFonts w:cs="Arial"/>
                <w:b/>
                <w:szCs w:val="24"/>
              </w:rPr>
              <w:t>ategory</w:t>
            </w:r>
          </w:p>
        </w:tc>
        <w:tc>
          <w:tcPr>
            <w:tcW w:w="7272" w:type="dxa"/>
            <w:shd w:val="clear" w:color="auto" w:fill="C0C0C0"/>
          </w:tcPr>
          <w:p w14:paraId="6AC85070" w14:textId="77777777" w:rsidR="004544B3" w:rsidRPr="006F4B15" w:rsidRDefault="004544B3" w:rsidP="006A75E1">
            <w:pPr>
              <w:spacing w:before="240" w:after="240"/>
              <w:jc w:val="center"/>
              <w:rPr>
                <w:rFonts w:cs="Arial"/>
                <w:b/>
                <w:szCs w:val="24"/>
              </w:rPr>
            </w:pPr>
            <w:r>
              <w:rPr>
                <w:rFonts w:cs="Arial"/>
                <w:b/>
                <w:szCs w:val="24"/>
              </w:rPr>
              <w:t>Details o</w:t>
            </w:r>
            <w:r w:rsidRPr="006F4B15">
              <w:rPr>
                <w:rFonts w:cs="Arial"/>
                <w:b/>
                <w:szCs w:val="24"/>
              </w:rPr>
              <w:t>f Needs/Experiences/Priorities</w:t>
            </w:r>
          </w:p>
        </w:tc>
      </w:tr>
      <w:tr w:rsidR="004544B3" w:rsidRPr="00BE0E96" w14:paraId="1FE17F04" w14:textId="77777777" w:rsidTr="006A75E1">
        <w:trPr>
          <w:trHeight w:val="2980"/>
        </w:trPr>
        <w:tc>
          <w:tcPr>
            <w:tcW w:w="1908" w:type="dxa"/>
            <w:tcBorders>
              <w:top w:val="single" w:sz="4" w:space="0" w:color="auto"/>
              <w:left w:val="single" w:sz="4" w:space="0" w:color="auto"/>
              <w:bottom w:val="single" w:sz="4" w:space="0" w:color="auto"/>
              <w:right w:val="single" w:sz="4" w:space="0" w:color="auto"/>
            </w:tcBorders>
            <w:shd w:val="clear" w:color="auto" w:fill="EEECE1"/>
          </w:tcPr>
          <w:p w14:paraId="49D1028B" w14:textId="77777777" w:rsidR="004544B3" w:rsidRDefault="004544B3" w:rsidP="006A75E1">
            <w:pPr>
              <w:spacing w:after="120"/>
              <w:rPr>
                <w:rFonts w:cs="Arial"/>
                <w:b/>
                <w:szCs w:val="24"/>
              </w:rPr>
            </w:pPr>
          </w:p>
          <w:p w14:paraId="725B5F91" w14:textId="77777777" w:rsidR="00D27DFF" w:rsidRDefault="00D27DFF" w:rsidP="006A75E1">
            <w:pPr>
              <w:spacing w:after="120"/>
              <w:rPr>
                <w:rFonts w:cs="Arial"/>
                <w:b/>
                <w:szCs w:val="24"/>
              </w:rPr>
            </w:pPr>
            <w:r>
              <w:rPr>
                <w:rFonts w:cs="Arial"/>
                <w:b/>
                <w:szCs w:val="24"/>
              </w:rPr>
              <w:t>All</w:t>
            </w:r>
          </w:p>
          <w:p w14:paraId="2A531408" w14:textId="77777777" w:rsidR="007116A7" w:rsidRDefault="007116A7" w:rsidP="006A75E1">
            <w:pPr>
              <w:spacing w:after="120"/>
              <w:rPr>
                <w:rFonts w:cs="Arial"/>
                <w:b/>
                <w:szCs w:val="24"/>
              </w:rPr>
            </w:pPr>
          </w:p>
          <w:p w14:paraId="7DF71000" w14:textId="77777777" w:rsidR="007116A7" w:rsidRDefault="007116A7" w:rsidP="006A75E1">
            <w:pPr>
              <w:spacing w:after="120"/>
              <w:rPr>
                <w:rFonts w:cs="Arial"/>
                <w:b/>
                <w:szCs w:val="24"/>
              </w:rPr>
            </w:pPr>
          </w:p>
          <w:p w14:paraId="1A7F4DE1" w14:textId="77777777" w:rsidR="007116A7" w:rsidRDefault="007116A7" w:rsidP="006A75E1">
            <w:pPr>
              <w:spacing w:after="120"/>
              <w:rPr>
                <w:rFonts w:cs="Arial"/>
                <w:b/>
                <w:szCs w:val="24"/>
              </w:rPr>
            </w:pPr>
          </w:p>
          <w:p w14:paraId="1D74EE93" w14:textId="77777777" w:rsidR="007116A7" w:rsidRDefault="007116A7" w:rsidP="006A75E1">
            <w:pPr>
              <w:spacing w:after="120"/>
              <w:rPr>
                <w:rFonts w:cs="Arial"/>
                <w:b/>
                <w:szCs w:val="24"/>
              </w:rPr>
            </w:pPr>
          </w:p>
          <w:p w14:paraId="27AD39BA" w14:textId="77777777" w:rsidR="007116A7" w:rsidRDefault="007116A7" w:rsidP="006A75E1">
            <w:pPr>
              <w:spacing w:after="120"/>
              <w:rPr>
                <w:rFonts w:cs="Arial"/>
                <w:b/>
                <w:szCs w:val="24"/>
              </w:rPr>
            </w:pPr>
          </w:p>
          <w:p w14:paraId="138EB9AD" w14:textId="77777777" w:rsidR="007116A7" w:rsidRDefault="007116A7" w:rsidP="006A75E1">
            <w:pPr>
              <w:spacing w:after="120"/>
              <w:rPr>
                <w:rFonts w:cs="Arial"/>
                <w:b/>
                <w:szCs w:val="24"/>
              </w:rPr>
            </w:pPr>
          </w:p>
          <w:p w14:paraId="75577961" w14:textId="77777777" w:rsidR="007116A7" w:rsidRDefault="007116A7" w:rsidP="006A75E1">
            <w:pPr>
              <w:spacing w:after="120"/>
              <w:rPr>
                <w:rFonts w:cs="Arial"/>
                <w:b/>
                <w:szCs w:val="24"/>
              </w:rPr>
            </w:pPr>
          </w:p>
          <w:p w14:paraId="39C1E9E0" w14:textId="77777777" w:rsidR="00CD6D44" w:rsidRDefault="00CD6D44" w:rsidP="006A75E1">
            <w:pPr>
              <w:spacing w:after="120"/>
              <w:rPr>
                <w:rFonts w:cs="Arial"/>
                <w:b/>
                <w:szCs w:val="24"/>
              </w:rPr>
            </w:pPr>
          </w:p>
          <w:p w14:paraId="60BFCEB4" w14:textId="77777777" w:rsidR="00631345" w:rsidRDefault="00631345" w:rsidP="006A75E1">
            <w:pPr>
              <w:spacing w:after="120"/>
              <w:rPr>
                <w:rFonts w:cs="Arial"/>
                <w:b/>
                <w:szCs w:val="24"/>
              </w:rPr>
            </w:pPr>
          </w:p>
          <w:p w14:paraId="29092604" w14:textId="77777777" w:rsidR="00631345" w:rsidRDefault="00631345" w:rsidP="006A75E1">
            <w:pPr>
              <w:spacing w:after="120"/>
              <w:rPr>
                <w:rFonts w:cs="Arial"/>
                <w:b/>
                <w:szCs w:val="24"/>
              </w:rPr>
            </w:pPr>
          </w:p>
          <w:p w14:paraId="238306F6" w14:textId="3969C075" w:rsidR="007116A7" w:rsidRDefault="007116A7" w:rsidP="006A75E1">
            <w:pPr>
              <w:spacing w:after="120"/>
              <w:rPr>
                <w:rFonts w:cs="Arial"/>
                <w:b/>
                <w:szCs w:val="24"/>
              </w:rPr>
            </w:pPr>
            <w:r>
              <w:rPr>
                <w:rFonts w:cs="Arial"/>
                <w:b/>
                <w:szCs w:val="24"/>
              </w:rPr>
              <w:t>Gender</w:t>
            </w:r>
          </w:p>
          <w:p w14:paraId="71743843" w14:textId="77777777" w:rsidR="007116A7" w:rsidRDefault="007116A7" w:rsidP="006A75E1">
            <w:pPr>
              <w:spacing w:after="120"/>
              <w:rPr>
                <w:rFonts w:cs="Arial"/>
                <w:b/>
                <w:szCs w:val="24"/>
              </w:rPr>
            </w:pPr>
          </w:p>
          <w:p w14:paraId="0896F49B" w14:textId="77777777" w:rsidR="007116A7" w:rsidRDefault="007116A7" w:rsidP="006A75E1">
            <w:pPr>
              <w:spacing w:after="120"/>
              <w:rPr>
                <w:rFonts w:cs="Arial"/>
                <w:b/>
                <w:szCs w:val="24"/>
              </w:rPr>
            </w:pPr>
          </w:p>
          <w:p w14:paraId="0BF25C75" w14:textId="77777777" w:rsidR="007116A7" w:rsidRDefault="007116A7" w:rsidP="006A75E1">
            <w:pPr>
              <w:spacing w:after="120"/>
              <w:rPr>
                <w:rFonts w:cs="Arial"/>
                <w:b/>
                <w:szCs w:val="24"/>
              </w:rPr>
            </w:pPr>
          </w:p>
          <w:p w14:paraId="6756A0A3" w14:textId="77777777" w:rsidR="007116A7" w:rsidRDefault="007116A7" w:rsidP="006A75E1">
            <w:pPr>
              <w:spacing w:after="120"/>
              <w:rPr>
                <w:rFonts w:cs="Arial"/>
                <w:b/>
                <w:szCs w:val="24"/>
              </w:rPr>
            </w:pPr>
          </w:p>
          <w:p w14:paraId="778692E9" w14:textId="77777777" w:rsidR="007116A7" w:rsidRDefault="007116A7" w:rsidP="006A75E1">
            <w:pPr>
              <w:spacing w:after="120"/>
              <w:rPr>
                <w:rFonts w:cs="Arial"/>
                <w:b/>
                <w:szCs w:val="24"/>
              </w:rPr>
            </w:pPr>
          </w:p>
          <w:p w14:paraId="369C1EF3" w14:textId="77777777" w:rsidR="007116A7" w:rsidRDefault="007116A7" w:rsidP="006A75E1">
            <w:pPr>
              <w:spacing w:after="120"/>
              <w:rPr>
                <w:rFonts w:cs="Arial"/>
                <w:b/>
                <w:szCs w:val="24"/>
              </w:rPr>
            </w:pPr>
          </w:p>
          <w:p w14:paraId="4F728D6C" w14:textId="77777777" w:rsidR="007116A7" w:rsidRDefault="007116A7" w:rsidP="006A75E1">
            <w:pPr>
              <w:spacing w:after="120"/>
              <w:rPr>
                <w:rFonts w:cs="Arial"/>
                <w:b/>
                <w:szCs w:val="24"/>
              </w:rPr>
            </w:pPr>
          </w:p>
          <w:p w14:paraId="6D377F53" w14:textId="77777777" w:rsidR="007116A7" w:rsidRDefault="007116A7" w:rsidP="006A75E1">
            <w:pPr>
              <w:spacing w:after="120"/>
              <w:rPr>
                <w:rFonts w:cs="Arial"/>
                <w:b/>
                <w:szCs w:val="24"/>
              </w:rPr>
            </w:pPr>
          </w:p>
          <w:p w14:paraId="349E582F" w14:textId="77777777" w:rsidR="007116A7" w:rsidRDefault="007116A7" w:rsidP="006A75E1">
            <w:pPr>
              <w:spacing w:after="120"/>
              <w:rPr>
                <w:rFonts w:cs="Arial"/>
                <w:b/>
                <w:szCs w:val="24"/>
              </w:rPr>
            </w:pPr>
          </w:p>
          <w:p w14:paraId="457B63F2" w14:textId="77777777" w:rsidR="007116A7" w:rsidRDefault="007116A7" w:rsidP="006A75E1">
            <w:pPr>
              <w:spacing w:after="120"/>
              <w:rPr>
                <w:rFonts w:cs="Arial"/>
                <w:b/>
                <w:szCs w:val="24"/>
              </w:rPr>
            </w:pPr>
          </w:p>
          <w:p w14:paraId="49B15D00" w14:textId="77777777" w:rsidR="007116A7" w:rsidRDefault="007116A7" w:rsidP="006A75E1">
            <w:pPr>
              <w:spacing w:after="120"/>
              <w:rPr>
                <w:rFonts w:cs="Arial"/>
                <w:b/>
                <w:szCs w:val="24"/>
              </w:rPr>
            </w:pPr>
          </w:p>
          <w:p w14:paraId="080D02E0" w14:textId="77777777" w:rsidR="007116A7" w:rsidRDefault="007116A7" w:rsidP="006A75E1">
            <w:pPr>
              <w:spacing w:after="120"/>
              <w:rPr>
                <w:rFonts w:cs="Arial"/>
                <w:b/>
                <w:szCs w:val="24"/>
              </w:rPr>
            </w:pPr>
          </w:p>
          <w:p w14:paraId="45209338" w14:textId="77777777" w:rsidR="007116A7" w:rsidRDefault="007116A7" w:rsidP="006A75E1">
            <w:pPr>
              <w:spacing w:after="120"/>
              <w:rPr>
                <w:rFonts w:cs="Arial"/>
                <w:b/>
                <w:szCs w:val="24"/>
              </w:rPr>
            </w:pPr>
          </w:p>
          <w:p w14:paraId="190E4E44" w14:textId="77777777" w:rsidR="007116A7" w:rsidRDefault="007116A7" w:rsidP="006A75E1">
            <w:pPr>
              <w:spacing w:after="120"/>
              <w:rPr>
                <w:rFonts w:cs="Arial"/>
                <w:b/>
                <w:szCs w:val="24"/>
              </w:rPr>
            </w:pPr>
          </w:p>
          <w:p w14:paraId="4874ECB5" w14:textId="77777777" w:rsidR="007116A7" w:rsidRDefault="007116A7" w:rsidP="006A75E1">
            <w:pPr>
              <w:spacing w:after="120"/>
              <w:rPr>
                <w:rFonts w:cs="Arial"/>
                <w:b/>
                <w:szCs w:val="24"/>
              </w:rPr>
            </w:pPr>
          </w:p>
          <w:p w14:paraId="31A859E4" w14:textId="77777777" w:rsidR="007116A7" w:rsidRDefault="007116A7" w:rsidP="006A75E1">
            <w:pPr>
              <w:spacing w:after="120"/>
              <w:rPr>
                <w:rFonts w:cs="Arial"/>
                <w:b/>
                <w:szCs w:val="24"/>
              </w:rPr>
            </w:pPr>
          </w:p>
          <w:p w14:paraId="23A48792" w14:textId="77777777" w:rsidR="007116A7" w:rsidRDefault="007116A7" w:rsidP="006A75E1">
            <w:pPr>
              <w:spacing w:after="120"/>
              <w:rPr>
                <w:rFonts w:cs="Arial"/>
                <w:b/>
                <w:szCs w:val="24"/>
              </w:rPr>
            </w:pPr>
          </w:p>
          <w:p w14:paraId="366E2C0C" w14:textId="5F35FAC8" w:rsidR="006A75E1" w:rsidRDefault="006A75E1" w:rsidP="006A75E1">
            <w:pPr>
              <w:spacing w:after="120"/>
              <w:rPr>
                <w:rFonts w:cs="Arial"/>
                <w:b/>
                <w:szCs w:val="24"/>
              </w:rPr>
            </w:pPr>
            <w:r>
              <w:rPr>
                <w:rFonts w:cs="Arial"/>
                <w:b/>
                <w:szCs w:val="24"/>
              </w:rPr>
              <w:t>Age</w:t>
            </w:r>
          </w:p>
          <w:p w14:paraId="175D574D" w14:textId="77777777" w:rsidR="007116A7" w:rsidRDefault="007116A7" w:rsidP="006A75E1">
            <w:pPr>
              <w:spacing w:after="120"/>
              <w:rPr>
                <w:rFonts w:cs="Arial"/>
                <w:b/>
                <w:szCs w:val="24"/>
              </w:rPr>
            </w:pPr>
          </w:p>
          <w:p w14:paraId="3A3BBA62" w14:textId="77777777" w:rsidR="007116A7" w:rsidRDefault="007116A7" w:rsidP="006A75E1">
            <w:pPr>
              <w:spacing w:after="120"/>
              <w:rPr>
                <w:rFonts w:cs="Arial"/>
                <w:b/>
                <w:szCs w:val="24"/>
              </w:rPr>
            </w:pPr>
          </w:p>
          <w:p w14:paraId="22ED813D" w14:textId="77777777" w:rsidR="007116A7" w:rsidRDefault="007116A7" w:rsidP="006A75E1">
            <w:pPr>
              <w:spacing w:after="120"/>
              <w:rPr>
                <w:rFonts w:cs="Arial"/>
                <w:b/>
                <w:szCs w:val="24"/>
              </w:rPr>
            </w:pPr>
          </w:p>
          <w:p w14:paraId="39362385" w14:textId="77777777" w:rsidR="007116A7" w:rsidRDefault="007116A7" w:rsidP="006A75E1">
            <w:pPr>
              <w:spacing w:after="120"/>
              <w:rPr>
                <w:rFonts w:cs="Arial"/>
                <w:b/>
                <w:szCs w:val="24"/>
              </w:rPr>
            </w:pPr>
          </w:p>
          <w:p w14:paraId="50499E23" w14:textId="77777777" w:rsidR="007116A7" w:rsidRDefault="007116A7" w:rsidP="006A75E1">
            <w:pPr>
              <w:spacing w:after="120"/>
              <w:rPr>
                <w:rFonts w:cs="Arial"/>
                <w:b/>
                <w:szCs w:val="24"/>
              </w:rPr>
            </w:pPr>
          </w:p>
          <w:p w14:paraId="697DB3CD" w14:textId="77777777" w:rsidR="007116A7" w:rsidRDefault="007116A7" w:rsidP="006A75E1">
            <w:pPr>
              <w:spacing w:after="120"/>
              <w:rPr>
                <w:rFonts w:cs="Arial"/>
                <w:b/>
                <w:szCs w:val="24"/>
              </w:rPr>
            </w:pPr>
          </w:p>
          <w:p w14:paraId="2495E881" w14:textId="77777777" w:rsidR="007116A7" w:rsidRDefault="007116A7" w:rsidP="006A75E1">
            <w:pPr>
              <w:spacing w:after="120"/>
              <w:rPr>
                <w:rFonts w:cs="Arial"/>
                <w:b/>
                <w:szCs w:val="24"/>
              </w:rPr>
            </w:pPr>
          </w:p>
          <w:p w14:paraId="39713708" w14:textId="77777777" w:rsidR="007116A7" w:rsidRDefault="007116A7" w:rsidP="006A75E1">
            <w:pPr>
              <w:spacing w:after="120"/>
              <w:rPr>
                <w:rFonts w:cs="Arial"/>
                <w:b/>
                <w:szCs w:val="24"/>
              </w:rPr>
            </w:pPr>
          </w:p>
          <w:p w14:paraId="3B2F5738" w14:textId="77777777" w:rsidR="007116A7" w:rsidRDefault="007116A7" w:rsidP="006A75E1">
            <w:pPr>
              <w:spacing w:after="120"/>
              <w:rPr>
                <w:rFonts w:cs="Arial"/>
                <w:b/>
                <w:szCs w:val="24"/>
              </w:rPr>
            </w:pPr>
          </w:p>
          <w:p w14:paraId="6ACACFBF" w14:textId="77777777" w:rsidR="007116A7" w:rsidRDefault="007116A7" w:rsidP="006A75E1">
            <w:pPr>
              <w:spacing w:after="120"/>
              <w:rPr>
                <w:rFonts w:cs="Arial"/>
                <w:b/>
                <w:szCs w:val="24"/>
              </w:rPr>
            </w:pPr>
          </w:p>
          <w:p w14:paraId="2B67828E" w14:textId="77777777" w:rsidR="007116A7" w:rsidRDefault="007116A7" w:rsidP="006A75E1">
            <w:pPr>
              <w:spacing w:after="120"/>
              <w:rPr>
                <w:rFonts w:cs="Arial"/>
                <w:b/>
                <w:szCs w:val="24"/>
              </w:rPr>
            </w:pPr>
          </w:p>
          <w:p w14:paraId="7F8C5C9C" w14:textId="77777777" w:rsidR="007116A7" w:rsidRDefault="007116A7" w:rsidP="006A75E1">
            <w:pPr>
              <w:spacing w:after="120"/>
              <w:rPr>
                <w:rFonts w:cs="Arial"/>
                <w:b/>
                <w:szCs w:val="24"/>
              </w:rPr>
            </w:pPr>
          </w:p>
          <w:p w14:paraId="48328EC6" w14:textId="77777777" w:rsidR="007116A7" w:rsidRDefault="007116A7" w:rsidP="006A75E1">
            <w:pPr>
              <w:spacing w:after="120"/>
              <w:rPr>
                <w:rFonts w:cs="Arial"/>
                <w:b/>
                <w:szCs w:val="24"/>
              </w:rPr>
            </w:pPr>
          </w:p>
          <w:p w14:paraId="3C35D982" w14:textId="77777777" w:rsidR="007116A7" w:rsidRDefault="007116A7" w:rsidP="006A75E1">
            <w:pPr>
              <w:spacing w:after="120"/>
              <w:rPr>
                <w:rFonts w:cs="Arial"/>
                <w:b/>
                <w:szCs w:val="24"/>
              </w:rPr>
            </w:pPr>
          </w:p>
          <w:p w14:paraId="3C4B682E" w14:textId="77777777" w:rsidR="00B529B7" w:rsidRDefault="00B529B7" w:rsidP="006A75E1">
            <w:pPr>
              <w:spacing w:after="120"/>
              <w:rPr>
                <w:rFonts w:cs="Arial"/>
                <w:b/>
                <w:szCs w:val="24"/>
              </w:rPr>
            </w:pPr>
          </w:p>
          <w:p w14:paraId="12D6EAA0" w14:textId="77777777" w:rsidR="007D3015" w:rsidRDefault="007D3015" w:rsidP="006A75E1">
            <w:pPr>
              <w:spacing w:after="120"/>
              <w:rPr>
                <w:rFonts w:cs="Arial"/>
                <w:b/>
                <w:szCs w:val="24"/>
              </w:rPr>
            </w:pPr>
          </w:p>
          <w:p w14:paraId="3B9C9144" w14:textId="1D02E34E" w:rsidR="004544B3" w:rsidRDefault="004544B3" w:rsidP="006A75E1">
            <w:pPr>
              <w:spacing w:after="120"/>
              <w:rPr>
                <w:rFonts w:cs="Arial"/>
                <w:b/>
                <w:szCs w:val="24"/>
              </w:rPr>
            </w:pPr>
            <w:r>
              <w:rPr>
                <w:rFonts w:cs="Arial"/>
                <w:b/>
                <w:szCs w:val="24"/>
              </w:rPr>
              <w:t>Religious belief</w:t>
            </w:r>
          </w:p>
          <w:p w14:paraId="6A15F5B6" w14:textId="77777777" w:rsidR="007116A7" w:rsidRDefault="007116A7" w:rsidP="006A75E1">
            <w:pPr>
              <w:spacing w:after="120"/>
              <w:rPr>
                <w:rFonts w:cs="Arial"/>
                <w:b/>
                <w:szCs w:val="24"/>
              </w:rPr>
            </w:pPr>
          </w:p>
          <w:p w14:paraId="3CB343B0" w14:textId="77777777" w:rsidR="007116A7" w:rsidRDefault="007116A7" w:rsidP="006A75E1">
            <w:pPr>
              <w:spacing w:after="120"/>
              <w:rPr>
                <w:rFonts w:cs="Arial"/>
                <w:b/>
                <w:szCs w:val="24"/>
              </w:rPr>
            </w:pPr>
          </w:p>
          <w:p w14:paraId="4A9DE260" w14:textId="77777777" w:rsidR="007116A7" w:rsidRDefault="007116A7" w:rsidP="006A75E1">
            <w:pPr>
              <w:spacing w:after="120"/>
              <w:rPr>
                <w:rFonts w:cs="Arial"/>
                <w:b/>
                <w:szCs w:val="24"/>
              </w:rPr>
            </w:pPr>
          </w:p>
          <w:p w14:paraId="44F32310" w14:textId="77777777" w:rsidR="007116A7" w:rsidRDefault="007116A7" w:rsidP="006A75E1">
            <w:pPr>
              <w:spacing w:after="120"/>
              <w:rPr>
                <w:rFonts w:cs="Arial"/>
                <w:b/>
                <w:szCs w:val="24"/>
              </w:rPr>
            </w:pPr>
          </w:p>
          <w:p w14:paraId="74A1AC82" w14:textId="77777777" w:rsidR="007116A7" w:rsidRDefault="007116A7" w:rsidP="006A75E1">
            <w:pPr>
              <w:spacing w:after="120"/>
              <w:rPr>
                <w:rFonts w:cs="Arial"/>
                <w:b/>
                <w:szCs w:val="24"/>
              </w:rPr>
            </w:pPr>
          </w:p>
          <w:p w14:paraId="0A15545A" w14:textId="77777777" w:rsidR="007116A7" w:rsidRDefault="007116A7" w:rsidP="006A75E1">
            <w:pPr>
              <w:spacing w:after="120"/>
              <w:rPr>
                <w:rFonts w:cs="Arial"/>
                <w:b/>
                <w:szCs w:val="24"/>
              </w:rPr>
            </w:pPr>
          </w:p>
          <w:p w14:paraId="2B8E1843" w14:textId="77777777" w:rsidR="007116A7" w:rsidRDefault="007116A7" w:rsidP="006A75E1">
            <w:pPr>
              <w:spacing w:after="120"/>
              <w:rPr>
                <w:rFonts w:cs="Arial"/>
                <w:b/>
                <w:szCs w:val="24"/>
              </w:rPr>
            </w:pPr>
          </w:p>
          <w:p w14:paraId="595A6FD5" w14:textId="77777777" w:rsidR="007116A7" w:rsidRDefault="007116A7" w:rsidP="006A75E1">
            <w:pPr>
              <w:spacing w:after="120"/>
              <w:rPr>
                <w:rFonts w:cs="Arial"/>
                <w:b/>
                <w:szCs w:val="24"/>
              </w:rPr>
            </w:pPr>
          </w:p>
          <w:p w14:paraId="5D76A369" w14:textId="77777777" w:rsidR="007116A7" w:rsidRDefault="007116A7" w:rsidP="006A75E1">
            <w:pPr>
              <w:spacing w:after="120"/>
              <w:rPr>
                <w:rFonts w:cs="Arial"/>
                <w:b/>
                <w:szCs w:val="24"/>
              </w:rPr>
            </w:pPr>
          </w:p>
          <w:p w14:paraId="49382552" w14:textId="77777777" w:rsidR="007116A7" w:rsidRDefault="007116A7" w:rsidP="006A75E1">
            <w:pPr>
              <w:spacing w:after="120"/>
              <w:rPr>
                <w:rFonts w:cs="Arial"/>
                <w:b/>
                <w:szCs w:val="24"/>
              </w:rPr>
            </w:pPr>
          </w:p>
          <w:p w14:paraId="3A79EF2D" w14:textId="77777777" w:rsidR="007116A7" w:rsidRDefault="007116A7" w:rsidP="006A75E1">
            <w:pPr>
              <w:spacing w:after="120"/>
              <w:rPr>
                <w:rFonts w:cs="Arial"/>
                <w:b/>
                <w:szCs w:val="24"/>
              </w:rPr>
            </w:pPr>
          </w:p>
          <w:p w14:paraId="03F727B7" w14:textId="77777777" w:rsidR="00CE752D" w:rsidRDefault="00CE752D" w:rsidP="006A75E1">
            <w:pPr>
              <w:spacing w:after="120"/>
              <w:rPr>
                <w:rFonts w:cs="Arial"/>
                <w:b/>
                <w:szCs w:val="24"/>
              </w:rPr>
            </w:pPr>
          </w:p>
          <w:p w14:paraId="007DAD6E" w14:textId="6439441E" w:rsidR="004544B3" w:rsidRDefault="004544B3" w:rsidP="006A75E1">
            <w:pPr>
              <w:spacing w:after="120"/>
              <w:rPr>
                <w:rFonts w:cs="Arial"/>
                <w:b/>
                <w:szCs w:val="24"/>
              </w:rPr>
            </w:pPr>
            <w:r>
              <w:rPr>
                <w:rFonts w:cs="Arial"/>
                <w:b/>
                <w:szCs w:val="24"/>
              </w:rPr>
              <w:t>Political opinion</w:t>
            </w:r>
          </w:p>
          <w:p w14:paraId="1188329A" w14:textId="77777777" w:rsidR="007116A7" w:rsidRDefault="007116A7" w:rsidP="006A75E1">
            <w:pPr>
              <w:spacing w:after="120"/>
              <w:rPr>
                <w:rFonts w:cs="Arial"/>
                <w:b/>
                <w:szCs w:val="24"/>
              </w:rPr>
            </w:pPr>
          </w:p>
          <w:p w14:paraId="707312A0" w14:textId="2C582572" w:rsidR="004544B3" w:rsidRDefault="004544B3" w:rsidP="006A75E1">
            <w:pPr>
              <w:spacing w:after="120"/>
              <w:rPr>
                <w:rFonts w:cs="Arial"/>
                <w:b/>
                <w:szCs w:val="24"/>
              </w:rPr>
            </w:pPr>
            <w:r>
              <w:rPr>
                <w:rFonts w:cs="Arial"/>
                <w:b/>
                <w:szCs w:val="24"/>
              </w:rPr>
              <w:t xml:space="preserve">Race / </w:t>
            </w:r>
            <w:r w:rsidR="007D3015">
              <w:rPr>
                <w:rFonts w:cs="Arial"/>
                <w:b/>
                <w:szCs w:val="24"/>
              </w:rPr>
              <w:t>E</w:t>
            </w:r>
            <w:r>
              <w:rPr>
                <w:rFonts w:cs="Arial"/>
                <w:b/>
                <w:szCs w:val="24"/>
              </w:rPr>
              <w:t>thnic origin</w:t>
            </w:r>
          </w:p>
          <w:p w14:paraId="1B4574AC" w14:textId="77777777" w:rsidR="007116A7" w:rsidRDefault="007116A7" w:rsidP="006A75E1">
            <w:pPr>
              <w:spacing w:after="120"/>
              <w:rPr>
                <w:rFonts w:cs="Arial"/>
                <w:b/>
                <w:szCs w:val="24"/>
              </w:rPr>
            </w:pPr>
          </w:p>
          <w:p w14:paraId="6EA625FD" w14:textId="77777777" w:rsidR="007116A7" w:rsidRDefault="007116A7" w:rsidP="006A75E1">
            <w:pPr>
              <w:spacing w:after="120"/>
              <w:rPr>
                <w:rFonts w:cs="Arial"/>
                <w:b/>
                <w:szCs w:val="24"/>
              </w:rPr>
            </w:pPr>
          </w:p>
          <w:p w14:paraId="2CB4BFE0" w14:textId="77777777" w:rsidR="007116A7" w:rsidRDefault="007116A7" w:rsidP="006A75E1">
            <w:pPr>
              <w:spacing w:after="120"/>
              <w:rPr>
                <w:rFonts w:cs="Arial"/>
                <w:b/>
                <w:szCs w:val="24"/>
              </w:rPr>
            </w:pPr>
          </w:p>
          <w:p w14:paraId="6B61DE68" w14:textId="77777777" w:rsidR="007116A7" w:rsidRDefault="007116A7" w:rsidP="006A75E1">
            <w:pPr>
              <w:spacing w:after="120"/>
              <w:rPr>
                <w:rFonts w:cs="Arial"/>
                <w:b/>
                <w:szCs w:val="24"/>
              </w:rPr>
            </w:pPr>
          </w:p>
          <w:p w14:paraId="6547C61A" w14:textId="77777777" w:rsidR="007116A7" w:rsidRDefault="007116A7" w:rsidP="006A75E1">
            <w:pPr>
              <w:spacing w:after="120"/>
              <w:rPr>
                <w:rFonts w:cs="Arial"/>
                <w:b/>
                <w:szCs w:val="24"/>
              </w:rPr>
            </w:pPr>
          </w:p>
          <w:p w14:paraId="2CEF4E93" w14:textId="77777777" w:rsidR="007116A7" w:rsidRDefault="007116A7" w:rsidP="006A75E1">
            <w:pPr>
              <w:spacing w:after="120"/>
              <w:rPr>
                <w:rFonts w:cs="Arial"/>
                <w:b/>
                <w:szCs w:val="24"/>
              </w:rPr>
            </w:pPr>
          </w:p>
          <w:p w14:paraId="4A37BBFB" w14:textId="77777777" w:rsidR="007116A7" w:rsidRDefault="007116A7" w:rsidP="006A75E1">
            <w:pPr>
              <w:spacing w:after="120"/>
              <w:rPr>
                <w:rFonts w:cs="Arial"/>
                <w:b/>
                <w:szCs w:val="24"/>
              </w:rPr>
            </w:pPr>
          </w:p>
          <w:p w14:paraId="69AA082D" w14:textId="77777777" w:rsidR="007116A7" w:rsidRDefault="007116A7" w:rsidP="006A75E1">
            <w:pPr>
              <w:spacing w:after="120"/>
              <w:rPr>
                <w:rFonts w:cs="Arial"/>
                <w:b/>
                <w:szCs w:val="24"/>
              </w:rPr>
            </w:pPr>
          </w:p>
          <w:p w14:paraId="55774611" w14:textId="77777777" w:rsidR="007116A7" w:rsidRDefault="007116A7" w:rsidP="006A75E1">
            <w:pPr>
              <w:spacing w:after="120"/>
              <w:rPr>
                <w:rFonts w:cs="Arial"/>
                <w:b/>
                <w:szCs w:val="24"/>
              </w:rPr>
            </w:pPr>
          </w:p>
          <w:p w14:paraId="1DC11C3F" w14:textId="77777777" w:rsidR="007116A7" w:rsidRDefault="007116A7" w:rsidP="006A75E1">
            <w:pPr>
              <w:spacing w:after="120"/>
              <w:rPr>
                <w:rFonts w:cs="Arial"/>
                <w:b/>
                <w:szCs w:val="24"/>
              </w:rPr>
            </w:pPr>
          </w:p>
          <w:p w14:paraId="0F893D49" w14:textId="77777777" w:rsidR="007116A7" w:rsidRDefault="007116A7" w:rsidP="006A75E1">
            <w:pPr>
              <w:spacing w:after="120"/>
              <w:rPr>
                <w:rFonts w:cs="Arial"/>
                <w:b/>
                <w:szCs w:val="24"/>
              </w:rPr>
            </w:pPr>
          </w:p>
          <w:p w14:paraId="7E18550B" w14:textId="77777777" w:rsidR="007116A7" w:rsidRDefault="007116A7" w:rsidP="006A75E1">
            <w:pPr>
              <w:spacing w:after="120"/>
              <w:rPr>
                <w:rFonts w:cs="Arial"/>
                <w:b/>
                <w:szCs w:val="24"/>
              </w:rPr>
            </w:pPr>
          </w:p>
          <w:p w14:paraId="00B26C96" w14:textId="77777777" w:rsidR="007116A7" w:rsidRDefault="007116A7" w:rsidP="006A75E1">
            <w:pPr>
              <w:spacing w:after="120"/>
              <w:rPr>
                <w:rFonts w:cs="Arial"/>
                <w:b/>
                <w:szCs w:val="24"/>
              </w:rPr>
            </w:pPr>
          </w:p>
          <w:p w14:paraId="096041EF" w14:textId="77777777" w:rsidR="007116A7" w:rsidRDefault="007116A7" w:rsidP="006A75E1">
            <w:pPr>
              <w:spacing w:after="120"/>
              <w:rPr>
                <w:rFonts w:cs="Arial"/>
                <w:b/>
                <w:szCs w:val="24"/>
              </w:rPr>
            </w:pPr>
          </w:p>
          <w:p w14:paraId="1C5607D6" w14:textId="77777777" w:rsidR="007116A7" w:rsidRDefault="007116A7" w:rsidP="006A75E1">
            <w:pPr>
              <w:spacing w:after="120"/>
              <w:rPr>
                <w:rFonts w:cs="Arial"/>
                <w:b/>
                <w:szCs w:val="24"/>
              </w:rPr>
            </w:pPr>
          </w:p>
          <w:p w14:paraId="1B6FC477" w14:textId="77777777" w:rsidR="007116A7" w:rsidRDefault="007116A7" w:rsidP="006A75E1">
            <w:pPr>
              <w:spacing w:after="120"/>
              <w:rPr>
                <w:rFonts w:cs="Arial"/>
                <w:b/>
                <w:szCs w:val="24"/>
              </w:rPr>
            </w:pPr>
          </w:p>
          <w:p w14:paraId="394D5C4D" w14:textId="77777777" w:rsidR="00B529B7" w:rsidRDefault="00B529B7" w:rsidP="006A75E1">
            <w:pPr>
              <w:spacing w:after="120"/>
              <w:rPr>
                <w:rFonts w:cs="Arial"/>
                <w:b/>
                <w:szCs w:val="24"/>
              </w:rPr>
            </w:pPr>
          </w:p>
          <w:p w14:paraId="099E70C7" w14:textId="7EAD1137" w:rsidR="004544B3" w:rsidRDefault="004544B3" w:rsidP="006A75E1">
            <w:pPr>
              <w:spacing w:after="120"/>
              <w:rPr>
                <w:rFonts w:cs="Arial"/>
                <w:b/>
                <w:szCs w:val="24"/>
              </w:rPr>
            </w:pPr>
            <w:r>
              <w:rPr>
                <w:rFonts w:cs="Arial"/>
                <w:b/>
                <w:szCs w:val="24"/>
              </w:rPr>
              <w:t>Disability</w:t>
            </w:r>
          </w:p>
          <w:p w14:paraId="251EB36E" w14:textId="77777777" w:rsidR="007116A7" w:rsidRDefault="007116A7" w:rsidP="006A75E1">
            <w:pPr>
              <w:spacing w:after="120"/>
              <w:rPr>
                <w:rFonts w:cs="Arial"/>
                <w:b/>
                <w:szCs w:val="24"/>
              </w:rPr>
            </w:pPr>
          </w:p>
          <w:p w14:paraId="27FB80F4" w14:textId="77777777" w:rsidR="007116A7" w:rsidRDefault="007116A7" w:rsidP="006A75E1">
            <w:pPr>
              <w:spacing w:after="120"/>
              <w:rPr>
                <w:rFonts w:cs="Arial"/>
                <w:b/>
                <w:szCs w:val="24"/>
              </w:rPr>
            </w:pPr>
          </w:p>
          <w:p w14:paraId="6128807D" w14:textId="77777777" w:rsidR="007116A7" w:rsidRDefault="007116A7" w:rsidP="006A75E1">
            <w:pPr>
              <w:spacing w:after="120"/>
              <w:rPr>
                <w:rFonts w:cs="Arial"/>
                <w:b/>
                <w:szCs w:val="24"/>
              </w:rPr>
            </w:pPr>
          </w:p>
          <w:p w14:paraId="5516C8A1" w14:textId="77777777" w:rsidR="007116A7" w:rsidRDefault="007116A7" w:rsidP="006A75E1">
            <w:pPr>
              <w:spacing w:after="120"/>
              <w:rPr>
                <w:rFonts w:cs="Arial"/>
                <w:b/>
                <w:szCs w:val="24"/>
              </w:rPr>
            </w:pPr>
          </w:p>
          <w:p w14:paraId="4CB0C7E1" w14:textId="77777777" w:rsidR="007116A7" w:rsidRDefault="007116A7" w:rsidP="006A75E1">
            <w:pPr>
              <w:spacing w:after="120"/>
              <w:rPr>
                <w:rFonts w:cs="Arial"/>
                <w:b/>
                <w:szCs w:val="24"/>
              </w:rPr>
            </w:pPr>
          </w:p>
          <w:p w14:paraId="15A73E52" w14:textId="77777777" w:rsidR="007116A7" w:rsidRDefault="007116A7" w:rsidP="006A75E1">
            <w:pPr>
              <w:spacing w:after="120"/>
              <w:rPr>
                <w:rFonts w:cs="Arial"/>
                <w:b/>
                <w:szCs w:val="24"/>
              </w:rPr>
            </w:pPr>
          </w:p>
          <w:p w14:paraId="67AB6CE3" w14:textId="77777777" w:rsidR="007116A7" w:rsidRDefault="007116A7" w:rsidP="006A75E1">
            <w:pPr>
              <w:spacing w:after="120"/>
              <w:rPr>
                <w:rFonts w:cs="Arial"/>
                <w:b/>
                <w:szCs w:val="24"/>
              </w:rPr>
            </w:pPr>
          </w:p>
          <w:p w14:paraId="789AB1AD" w14:textId="77777777" w:rsidR="007116A7" w:rsidRDefault="007116A7" w:rsidP="006A75E1">
            <w:pPr>
              <w:spacing w:after="120"/>
              <w:rPr>
                <w:rFonts w:cs="Arial"/>
                <w:b/>
                <w:szCs w:val="24"/>
              </w:rPr>
            </w:pPr>
          </w:p>
          <w:p w14:paraId="34D352D9" w14:textId="77777777" w:rsidR="007116A7" w:rsidRDefault="007116A7" w:rsidP="006A75E1">
            <w:pPr>
              <w:spacing w:after="120"/>
              <w:rPr>
                <w:rFonts w:cs="Arial"/>
                <w:b/>
                <w:szCs w:val="24"/>
              </w:rPr>
            </w:pPr>
          </w:p>
          <w:p w14:paraId="62F9B56C" w14:textId="77777777" w:rsidR="007116A7" w:rsidRDefault="007116A7" w:rsidP="006A75E1">
            <w:pPr>
              <w:spacing w:after="120"/>
              <w:rPr>
                <w:rFonts w:cs="Arial"/>
                <w:b/>
                <w:szCs w:val="24"/>
              </w:rPr>
            </w:pPr>
          </w:p>
          <w:p w14:paraId="600C67CA" w14:textId="77777777" w:rsidR="007116A7" w:rsidRDefault="007116A7" w:rsidP="006A75E1">
            <w:pPr>
              <w:spacing w:after="120"/>
              <w:rPr>
                <w:rFonts w:cs="Arial"/>
                <w:b/>
                <w:szCs w:val="24"/>
              </w:rPr>
            </w:pPr>
          </w:p>
          <w:p w14:paraId="4B359D79" w14:textId="77777777" w:rsidR="007116A7" w:rsidRDefault="007116A7" w:rsidP="006A75E1">
            <w:pPr>
              <w:spacing w:after="120"/>
              <w:rPr>
                <w:rFonts w:cs="Arial"/>
                <w:b/>
                <w:szCs w:val="24"/>
              </w:rPr>
            </w:pPr>
          </w:p>
          <w:p w14:paraId="550BA822" w14:textId="77777777" w:rsidR="007116A7" w:rsidRDefault="007116A7" w:rsidP="006A75E1">
            <w:pPr>
              <w:spacing w:after="120"/>
              <w:rPr>
                <w:rFonts w:cs="Arial"/>
                <w:b/>
                <w:szCs w:val="24"/>
              </w:rPr>
            </w:pPr>
          </w:p>
          <w:p w14:paraId="53A59C1E" w14:textId="77777777" w:rsidR="007116A7" w:rsidRDefault="007116A7" w:rsidP="006A75E1">
            <w:pPr>
              <w:spacing w:after="120"/>
              <w:rPr>
                <w:rFonts w:cs="Arial"/>
                <w:b/>
                <w:szCs w:val="24"/>
              </w:rPr>
            </w:pPr>
          </w:p>
          <w:p w14:paraId="786EC8CA" w14:textId="1E83741F" w:rsidR="007116A7" w:rsidRDefault="007116A7" w:rsidP="006A75E1">
            <w:pPr>
              <w:spacing w:after="120"/>
              <w:rPr>
                <w:rFonts w:cs="Arial"/>
                <w:b/>
                <w:szCs w:val="24"/>
              </w:rPr>
            </w:pPr>
            <w:r>
              <w:rPr>
                <w:rFonts w:cs="Arial"/>
                <w:b/>
                <w:szCs w:val="24"/>
              </w:rPr>
              <w:t>Marital Status</w:t>
            </w:r>
          </w:p>
          <w:p w14:paraId="1243461E" w14:textId="77777777" w:rsidR="007116A7" w:rsidRDefault="007116A7" w:rsidP="006A75E1">
            <w:pPr>
              <w:spacing w:after="120"/>
              <w:rPr>
                <w:rFonts w:cs="Arial"/>
                <w:b/>
                <w:szCs w:val="24"/>
              </w:rPr>
            </w:pPr>
          </w:p>
          <w:p w14:paraId="3C291350" w14:textId="77777777" w:rsidR="007116A7" w:rsidRDefault="007116A7" w:rsidP="006A75E1">
            <w:pPr>
              <w:spacing w:after="120"/>
              <w:rPr>
                <w:rFonts w:cs="Arial"/>
                <w:b/>
                <w:szCs w:val="24"/>
              </w:rPr>
            </w:pPr>
          </w:p>
          <w:p w14:paraId="5BB0E196" w14:textId="77777777" w:rsidR="007116A7" w:rsidRDefault="007116A7" w:rsidP="006A75E1">
            <w:pPr>
              <w:spacing w:after="120"/>
              <w:rPr>
                <w:rFonts w:cs="Arial"/>
                <w:b/>
                <w:szCs w:val="24"/>
              </w:rPr>
            </w:pPr>
          </w:p>
          <w:p w14:paraId="28A118D6" w14:textId="77777777" w:rsidR="007116A7" w:rsidRDefault="007116A7" w:rsidP="006A75E1">
            <w:pPr>
              <w:spacing w:after="120"/>
              <w:rPr>
                <w:rFonts w:cs="Arial"/>
                <w:b/>
                <w:szCs w:val="24"/>
              </w:rPr>
            </w:pPr>
          </w:p>
          <w:p w14:paraId="61008E84" w14:textId="77777777" w:rsidR="007116A7" w:rsidRDefault="007116A7" w:rsidP="006A75E1">
            <w:pPr>
              <w:spacing w:after="120"/>
              <w:rPr>
                <w:rFonts w:cs="Arial"/>
                <w:b/>
                <w:szCs w:val="24"/>
              </w:rPr>
            </w:pPr>
          </w:p>
          <w:p w14:paraId="563EE9BB" w14:textId="77777777" w:rsidR="007116A7" w:rsidRDefault="007116A7" w:rsidP="006A75E1">
            <w:pPr>
              <w:spacing w:after="120"/>
              <w:rPr>
                <w:rFonts w:cs="Arial"/>
                <w:b/>
                <w:szCs w:val="24"/>
              </w:rPr>
            </w:pPr>
          </w:p>
          <w:p w14:paraId="0BBDE3A3" w14:textId="77777777" w:rsidR="007116A7" w:rsidRDefault="007116A7" w:rsidP="006A75E1">
            <w:pPr>
              <w:spacing w:after="120"/>
              <w:rPr>
                <w:rFonts w:cs="Arial"/>
                <w:b/>
                <w:szCs w:val="24"/>
              </w:rPr>
            </w:pPr>
          </w:p>
          <w:p w14:paraId="424B595E" w14:textId="77777777" w:rsidR="007116A7" w:rsidRDefault="007116A7" w:rsidP="006A75E1">
            <w:pPr>
              <w:spacing w:after="120"/>
              <w:rPr>
                <w:rFonts w:cs="Arial"/>
                <w:b/>
                <w:szCs w:val="24"/>
              </w:rPr>
            </w:pPr>
          </w:p>
          <w:p w14:paraId="06B58235" w14:textId="77777777" w:rsidR="007116A7" w:rsidRDefault="007116A7" w:rsidP="006A75E1">
            <w:pPr>
              <w:spacing w:after="120"/>
              <w:rPr>
                <w:rFonts w:cs="Arial"/>
                <w:b/>
                <w:szCs w:val="24"/>
              </w:rPr>
            </w:pPr>
          </w:p>
          <w:p w14:paraId="481E1F58" w14:textId="78AD0AFD" w:rsidR="007116A7" w:rsidRDefault="007116A7" w:rsidP="006A75E1">
            <w:pPr>
              <w:spacing w:after="120"/>
              <w:rPr>
                <w:rFonts w:cs="Arial"/>
                <w:b/>
                <w:szCs w:val="24"/>
              </w:rPr>
            </w:pPr>
            <w:r>
              <w:rPr>
                <w:rFonts w:cs="Arial"/>
                <w:b/>
                <w:szCs w:val="24"/>
              </w:rPr>
              <w:t>Sexual Orientation</w:t>
            </w:r>
          </w:p>
          <w:p w14:paraId="59BB5D4B" w14:textId="77777777" w:rsidR="007116A7" w:rsidRDefault="007116A7" w:rsidP="006A75E1">
            <w:pPr>
              <w:spacing w:after="120"/>
              <w:rPr>
                <w:rFonts w:cs="Arial"/>
                <w:b/>
                <w:szCs w:val="24"/>
              </w:rPr>
            </w:pPr>
          </w:p>
          <w:p w14:paraId="32DCA832" w14:textId="77777777" w:rsidR="007116A7" w:rsidRDefault="007116A7" w:rsidP="006A75E1">
            <w:pPr>
              <w:spacing w:after="120"/>
              <w:rPr>
                <w:rFonts w:cs="Arial"/>
                <w:b/>
                <w:szCs w:val="24"/>
              </w:rPr>
            </w:pPr>
          </w:p>
          <w:p w14:paraId="26AECDB1" w14:textId="77777777" w:rsidR="007116A7" w:rsidRDefault="007116A7" w:rsidP="006A75E1">
            <w:pPr>
              <w:spacing w:after="120"/>
              <w:rPr>
                <w:rFonts w:cs="Arial"/>
                <w:b/>
                <w:szCs w:val="24"/>
              </w:rPr>
            </w:pPr>
          </w:p>
          <w:p w14:paraId="2CBCF3D8" w14:textId="77777777" w:rsidR="007116A7" w:rsidRDefault="007116A7" w:rsidP="006A75E1">
            <w:pPr>
              <w:spacing w:after="120"/>
              <w:rPr>
                <w:rFonts w:cs="Arial"/>
                <w:b/>
                <w:szCs w:val="24"/>
              </w:rPr>
            </w:pPr>
          </w:p>
          <w:p w14:paraId="19817A73" w14:textId="77777777" w:rsidR="007116A7" w:rsidRDefault="007116A7" w:rsidP="006A75E1">
            <w:pPr>
              <w:spacing w:after="120"/>
              <w:rPr>
                <w:rFonts w:cs="Arial"/>
                <w:b/>
                <w:szCs w:val="24"/>
              </w:rPr>
            </w:pPr>
          </w:p>
          <w:p w14:paraId="1E59297C" w14:textId="3BE918F2" w:rsidR="004544B3" w:rsidRPr="006F4B15" w:rsidRDefault="004544B3" w:rsidP="006A75E1">
            <w:pPr>
              <w:spacing w:after="120"/>
              <w:rPr>
                <w:rFonts w:cs="Arial"/>
                <w:b/>
                <w:szCs w:val="24"/>
              </w:rPr>
            </w:pPr>
            <w:proofErr w:type="spellStart"/>
            <w:r>
              <w:rPr>
                <w:rFonts w:cs="Arial"/>
                <w:b/>
                <w:szCs w:val="24"/>
              </w:rPr>
              <w:t>Dependancy</w:t>
            </w:r>
            <w:proofErr w:type="spellEnd"/>
          </w:p>
        </w:tc>
        <w:tc>
          <w:tcPr>
            <w:tcW w:w="7272" w:type="dxa"/>
            <w:tcBorders>
              <w:top w:val="single" w:sz="4" w:space="0" w:color="auto"/>
              <w:left w:val="single" w:sz="4" w:space="0" w:color="auto"/>
              <w:bottom w:val="single" w:sz="4" w:space="0" w:color="auto"/>
              <w:right w:val="single" w:sz="4" w:space="0" w:color="auto"/>
            </w:tcBorders>
            <w:shd w:val="clear" w:color="auto" w:fill="auto"/>
          </w:tcPr>
          <w:p w14:paraId="5D992D72" w14:textId="39D9F382" w:rsidR="006A75E1" w:rsidRDefault="00E43295" w:rsidP="0077157A">
            <w:pPr>
              <w:spacing w:before="240" w:after="240"/>
              <w:rPr>
                <w:rFonts w:cs="Arial"/>
                <w:bCs/>
                <w:szCs w:val="24"/>
              </w:rPr>
            </w:pPr>
            <w:r>
              <w:rPr>
                <w:rFonts w:cs="Arial"/>
                <w:bCs/>
                <w:szCs w:val="24"/>
              </w:rPr>
              <w:lastRenderedPageBreak/>
              <w:t>A significant cut to</w:t>
            </w:r>
            <w:r w:rsidR="0077157A">
              <w:rPr>
                <w:rFonts w:cs="Arial"/>
                <w:bCs/>
                <w:szCs w:val="24"/>
              </w:rPr>
              <w:t xml:space="preserve"> the normal baseline budget for the period </w:t>
            </w:r>
            <w:r w:rsidR="005848EE">
              <w:rPr>
                <w:rFonts w:cs="Arial"/>
                <w:bCs/>
                <w:szCs w:val="24"/>
              </w:rPr>
              <w:t>2025/26</w:t>
            </w:r>
            <w:r w:rsidR="0077157A">
              <w:rPr>
                <w:rFonts w:cs="Arial"/>
                <w:bCs/>
                <w:szCs w:val="24"/>
              </w:rPr>
              <w:t xml:space="preserve"> </w:t>
            </w:r>
            <w:r w:rsidR="00E565F4">
              <w:rPr>
                <w:rFonts w:cs="Arial"/>
                <w:bCs/>
                <w:szCs w:val="24"/>
              </w:rPr>
              <w:t>is likely to</w:t>
            </w:r>
            <w:r w:rsidR="0077157A">
              <w:rPr>
                <w:rFonts w:cs="Arial"/>
                <w:bCs/>
                <w:szCs w:val="24"/>
              </w:rPr>
              <w:t xml:space="preserve"> </w:t>
            </w:r>
            <w:r>
              <w:rPr>
                <w:rFonts w:cs="Arial"/>
                <w:bCs/>
                <w:szCs w:val="24"/>
              </w:rPr>
              <w:t xml:space="preserve">have a significant adverse </w:t>
            </w:r>
            <w:r w:rsidR="0077157A">
              <w:rPr>
                <w:rFonts w:cs="Arial"/>
                <w:bCs/>
                <w:szCs w:val="24"/>
              </w:rPr>
              <w:t xml:space="preserve">impact on a number of Section 75 categories </w:t>
            </w:r>
            <w:r w:rsidR="00E565F4">
              <w:rPr>
                <w:rFonts w:cs="Arial"/>
                <w:bCs/>
                <w:szCs w:val="24"/>
              </w:rPr>
              <w:t xml:space="preserve">through the </w:t>
            </w:r>
            <w:r w:rsidR="00EF4A2D">
              <w:rPr>
                <w:rFonts w:cs="Arial"/>
                <w:bCs/>
                <w:szCs w:val="24"/>
              </w:rPr>
              <w:t>reduced funding</w:t>
            </w:r>
            <w:r w:rsidR="00E565F4">
              <w:rPr>
                <w:rFonts w:cs="Arial"/>
                <w:bCs/>
                <w:szCs w:val="24"/>
              </w:rPr>
              <w:t xml:space="preserve"> of activities generally, including </w:t>
            </w:r>
            <w:r w:rsidR="00EF4A2D">
              <w:rPr>
                <w:rFonts w:cs="Arial"/>
                <w:bCs/>
                <w:szCs w:val="24"/>
              </w:rPr>
              <w:t xml:space="preserve">entrepreneurial support programmes (e.g. </w:t>
            </w:r>
            <w:r w:rsidR="00EF4A2D" w:rsidRPr="00EF4A2D">
              <w:rPr>
                <w:rFonts w:cs="Arial"/>
                <w:bCs/>
                <w:szCs w:val="24"/>
              </w:rPr>
              <w:t>Energy Loan Scheme, Agri Loan Scheme, Grant for R&amp;D, Innovation Vouchers, Proof of Concept</w:t>
            </w:r>
            <w:r w:rsidR="00EF4A2D">
              <w:rPr>
                <w:rFonts w:cs="Arial"/>
                <w:bCs/>
                <w:szCs w:val="24"/>
              </w:rPr>
              <w:t xml:space="preserve">), </w:t>
            </w:r>
            <w:r w:rsidR="00E565F4">
              <w:rPr>
                <w:rFonts w:cs="Arial"/>
                <w:bCs/>
                <w:szCs w:val="24"/>
              </w:rPr>
              <w:t>regional hubs and</w:t>
            </w:r>
            <w:r w:rsidR="0077157A">
              <w:rPr>
                <w:rFonts w:cs="Arial"/>
                <w:bCs/>
                <w:szCs w:val="24"/>
              </w:rPr>
              <w:t xml:space="preserve"> </w:t>
            </w:r>
            <w:r w:rsidR="00EF4A2D">
              <w:rPr>
                <w:rFonts w:cs="Arial"/>
                <w:bCs/>
                <w:szCs w:val="24"/>
              </w:rPr>
              <w:t>relat</w:t>
            </w:r>
            <w:r w:rsidR="0077157A">
              <w:rPr>
                <w:rFonts w:cs="Arial"/>
                <w:bCs/>
                <w:szCs w:val="24"/>
              </w:rPr>
              <w:t xml:space="preserve">ed positive action measures designed to </w:t>
            </w:r>
            <w:r w:rsidR="00631345">
              <w:rPr>
                <w:rFonts w:cs="Arial"/>
                <w:bCs/>
                <w:szCs w:val="24"/>
              </w:rPr>
              <w:t>tackle</w:t>
            </w:r>
            <w:r w:rsidR="0077157A">
              <w:rPr>
                <w:rFonts w:cs="Arial"/>
                <w:bCs/>
                <w:szCs w:val="24"/>
              </w:rPr>
              <w:t xml:space="preserve"> </w:t>
            </w:r>
            <w:r w:rsidR="00235C01">
              <w:rPr>
                <w:rFonts w:cs="Arial"/>
                <w:bCs/>
                <w:szCs w:val="24"/>
              </w:rPr>
              <w:t>under-</w:t>
            </w:r>
            <w:r w:rsidR="0077157A">
              <w:rPr>
                <w:rFonts w:cs="Arial"/>
                <w:bCs/>
                <w:szCs w:val="24"/>
              </w:rPr>
              <w:t xml:space="preserve">representation in the labour market </w:t>
            </w:r>
            <w:r w:rsidR="004544B3">
              <w:rPr>
                <w:rFonts w:cs="Arial"/>
                <w:bCs/>
                <w:szCs w:val="24"/>
              </w:rPr>
              <w:t xml:space="preserve">(e.g. </w:t>
            </w:r>
            <w:r>
              <w:rPr>
                <w:rFonts w:cs="Arial"/>
                <w:bCs/>
                <w:szCs w:val="24"/>
              </w:rPr>
              <w:t xml:space="preserve">young male Protestants, </w:t>
            </w:r>
            <w:r w:rsidR="004544B3" w:rsidRPr="007116A7">
              <w:rPr>
                <w:rFonts w:cs="Arial"/>
                <w:bCs/>
                <w:szCs w:val="24"/>
              </w:rPr>
              <w:t>women</w:t>
            </w:r>
            <w:r w:rsidR="004544B3">
              <w:rPr>
                <w:rFonts w:cs="Arial"/>
                <w:bCs/>
                <w:szCs w:val="24"/>
              </w:rPr>
              <w:t xml:space="preserve">, those with a disability, those from </w:t>
            </w:r>
            <w:r w:rsidR="009A2807">
              <w:rPr>
                <w:rFonts w:cs="Arial"/>
                <w:bCs/>
                <w:szCs w:val="24"/>
              </w:rPr>
              <w:t>new</w:t>
            </w:r>
            <w:r w:rsidR="004544B3">
              <w:rPr>
                <w:rFonts w:cs="Arial"/>
                <w:bCs/>
                <w:szCs w:val="24"/>
              </w:rPr>
              <w:t xml:space="preserve"> communities</w:t>
            </w:r>
            <w:r w:rsidR="003E4867">
              <w:rPr>
                <w:rFonts w:cs="Arial"/>
                <w:bCs/>
                <w:szCs w:val="24"/>
              </w:rPr>
              <w:t>, those with caring responsibilities</w:t>
            </w:r>
            <w:r w:rsidR="00107DC4">
              <w:rPr>
                <w:rFonts w:cs="Arial"/>
                <w:bCs/>
                <w:szCs w:val="24"/>
              </w:rPr>
              <w:t>).</w:t>
            </w:r>
            <w:r w:rsidR="005E10ED">
              <w:rPr>
                <w:rFonts w:cs="Arial"/>
                <w:bCs/>
                <w:szCs w:val="24"/>
              </w:rPr>
              <w:t xml:space="preserve"> </w:t>
            </w:r>
          </w:p>
          <w:p w14:paraId="2D7648F0" w14:textId="5DB3935F" w:rsidR="007116A7" w:rsidRPr="007116A7" w:rsidRDefault="007116A7" w:rsidP="007116A7">
            <w:pPr>
              <w:spacing w:before="240" w:after="240"/>
              <w:rPr>
                <w:rFonts w:cs="Arial"/>
                <w:bCs/>
                <w:szCs w:val="24"/>
              </w:rPr>
            </w:pPr>
            <w:r>
              <w:rPr>
                <w:rFonts w:cs="Arial"/>
                <w:bCs/>
                <w:szCs w:val="24"/>
              </w:rPr>
              <w:t xml:space="preserve">The </w:t>
            </w:r>
            <w:r w:rsidR="007D3015">
              <w:rPr>
                <w:rFonts w:cs="Arial"/>
                <w:bCs/>
                <w:szCs w:val="24"/>
              </w:rPr>
              <w:t xml:space="preserve">recent </w:t>
            </w:r>
            <w:r>
              <w:rPr>
                <w:rFonts w:cs="Arial"/>
                <w:bCs/>
                <w:szCs w:val="24"/>
              </w:rPr>
              <w:t>EQIA attached to ISNI identified the following inequalities in the NI economy:</w:t>
            </w:r>
          </w:p>
          <w:p w14:paraId="7357666F" w14:textId="2CC89D4E" w:rsidR="007116A7" w:rsidRPr="007116A7" w:rsidRDefault="007116A7" w:rsidP="007116A7">
            <w:pPr>
              <w:spacing w:after="120"/>
              <w:ind w:left="244" w:hanging="244"/>
              <w:rPr>
                <w:rFonts w:cs="Arial"/>
                <w:bCs/>
                <w:szCs w:val="24"/>
              </w:rPr>
            </w:pPr>
            <w:r w:rsidRPr="007116A7">
              <w:rPr>
                <w:rFonts w:cs="Arial"/>
                <w:bCs/>
                <w:szCs w:val="24"/>
              </w:rPr>
              <w:t>•</w:t>
            </w:r>
            <w:r>
              <w:rPr>
                <w:rFonts w:cs="Arial"/>
                <w:bCs/>
                <w:szCs w:val="24"/>
              </w:rPr>
              <w:t xml:space="preserve">  </w:t>
            </w:r>
            <w:r w:rsidRPr="007116A7">
              <w:rPr>
                <w:rFonts w:cs="Arial"/>
                <w:bCs/>
                <w:szCs w:val="24"/>
              </w:rPr>
              <w:t>Women are underrepresented in industries associated with STEM and young women are less likely to study STEM subjects in further and higher education</w:t>
            </w:r>
            <w:r>
              <w:rPr>
                <w:rFonts w:cs="Arial"/>
                <w:bCs/>
                <w:szCs w:val="24"/>
              </w:rPr>
              <w:t>.</w:t>
            </w:r>
          </w:p>
          <w:p w14:paraId="7B01A8CE" w14:textId="4D8B1385" w:rsidR="007116A7" w:rsidRPr="007116A7" w:rsidRDefault="007116A7" w:rsidP="007116A7">
            <w:pPr>
              <w:spacing w:after="120"/>
              <w:ind w:left="244" w:hanging="244"/>
              <w:rPr>
                <w:rFonts w:cs="Arial"/>
                <w:bCs/>
                <w:szCs w:val="24"/>
              </w:rPr>
            </w:pPr>
            <w:r w:rsidRPr="007116A7">
              <w:rPr>
                <w:rFonts w:cs="Arial"/>
                <w:bCs/>
                <w:szCs w:val="24"/>
              </w:rPr>
              <w:t>•</w:t>
            </w:r>
            <w:r>
              <w:rPr>
                <w:rFonts w:cs="Arial"/>
                <w:bCs/>
                <w:szCs w:val="24"/>
              </w:rPr>
              <w:t xml:space="preserve">  </w:t>
            </w:r>
            <w:r w:rsidRPr="007116A7">
              <w:rPr>
                <w:rFonts w:cs="Arial"/>
                <w:bCs/>
                <w:szCs w:val="24"/>
              </w:rPr>
              <w:t xml:space="preserve">53% of females were employed in the Public Administration, Education and Health sectors and a further 18% in Distribution, Hotels and Restaurants, women were significantly </w:t>
            </w:r>
            <w:proofErr w:type="spellStart"/>
            <w:r w:rsidRPr="007116A7">
              <w:rPr>
                <w:rFonts w:cs="Arial"/>
                <w:bCs/>
                <w:szCs w:val="24"/>
              </w:rPr>
              <w:t>under represented</w:t>
            </w:r>
            <w:proofErr w:type="spellEnd"/>
            <w:r w:rsidRPr="007116A7">
              <w:rPr>
                <w:rFonts w:cs="Arial"/>
                <w:bCs/>
                <w:szCs w:val="24"/>
              </w:rPr>
              <w:t xml:space="preserve"> in Energy and Water,(0.4%), Agriculture, Forestry and Fishing (0.7%), Construction (1.2%) and Transport and Communications (3.9%)</w:t>
            </w:r>
          </w:p>
          <w:p w14:paraId="09B5EA0A" w14:textId="0FF1D84E"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Women are under-represented in the highest paid and highest status occupations and over-represented in lower status and lower paid occupations</w:t>
            </w:r>
          </w:p>
          <w:p w14:paraId="22E03735" w14:textId="21BD8749"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 xml:space="preserve">Women are more likely than men to report under-employment </w:t>
            </w:r>
          </w:p>
          <w:p w14:paraId="0EB2C13A" w14:textId="1AF92158" w:rsidR="007116A7" w:rsidRPr="007116A7" w:rsidRDefault="007116A7" w:rsidP="007116A7">
            <w:pPr>
              <w:spacing w:after="120"/>
              <w:ind w:left="244" w:hanging="244"/>
              <w:rPr>
                <w:rFonts w:cs="Arial"/>
                <w:bCs/>
                <w:szCs w:val="24"/>
              </w:rPr>
            </w:pPr>
            <w:r w:rsidRPr="007116A7">
              <w:rPr>
                <w:rFonts w:cs="Arial"/>
                <w:bCs/>
                <w:szCs w:val="24"/>
              </w:rPr>
              <w:lastRenderedPageBreak/>
              <w:t>•</w:t>
            </w:r>
            <w:r w:rsidRPr="007116A7">
              <w:rPr>
                <w:rFonts w:cs="Arial"/>
                <w:bCs/>
                <w:szCs w:val="24"/>
              </w:rPr>
              <w:tab/>
              <w:t>Because of their caring roles, women have to balance enhanced pay and career progression with flexibility in employment arrangements</w:t>
            </w:r>
          </w:p>
          <w:p w14:paraId="7AAB80CB" w14:textId="5EFF5936"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 xml:space="preserve">In 2019, the female share of employees in the public sector remained unchanged from the previous year </w:t>
            </w:r>
          </w:p>
          <w:p w14:paraId="2078EAD4" w14:textId="04C7CBBF"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 xml:space="preserve">In 2019, the female share of private sector employment was 45.7% </w:t>
            </w:r>
          </w:p>
          <w:p w14:paraId="59D57CE3" w14:textId="049A0DEA"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A lower proportion of women than men (8.9% compared to 9.4%) quoted employment as one of the 3 most important issues they face in day to day life</w:t>
            </w:r>
          </w:p>
          <w:p w14:paraId="6E25014E" w14:textId="4B4D7C48"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In its Statement of Key Inequalities, ECNI identifie</w:t>
            </w:r>
            <w:r w:rsidR="007D3015">
              <w:rPr>
                <w:rFonts w:cs="Arial"/>
                <w:bCs/>
                <w:szCs w:val="24"/>
              </w:rPr>
              <w:t>d</w:t>
            </w:r>
            <w:r w:rsidRPr="007116A7">
              <w:rPr>
                <w:rFonts w:cs="Arial"/>
                <w:bCs/>
                <w:szCs w:val="24"/>
              </w:rPr>
              <w:t xml:space="preserve"> that</w:t>
            </w:r>
          </w:p>
          <w:p w14:paraId="1CAFFC4F" w14:textId="77777777" w:rsidR="007116A7" w:rsidRPr="007116A7" w:rsidRDefault="007116A7" w:rsidP="00B529B7">
            <w:pPr>
              <w:spacing w:after="120"/>
              <w:ind w:left="811" w:hanging="244"/>
              <w:rPr>
                <w:rFonts w:cs="Arial"/>
                <w:bCs/>
                <w:szCs w:val="24"/>
              </w:rPr>
            </w:pPr>
            <w:r w:rsidRPr="007116A7">
              <w:rPr>
                <w:rFonts w:cs="Arial"/>
                <w:bCs/>
                <w:szCs w:val="24"/>
              </w:rPr>
              <w:t>o</w:t>
            </w:r>
            <w:r w:rsidRPr="007116A7">
              <w:rPr>
                <w:rFonts w:cs="Arial"/>
                <w:bCs/>
                <w:szCs w:val="24"/>
              </w:rPr>
              <w:tab/>
              <w:t>Those aged 18 – 24 years have higher unemployment rates than those aged 25 or older</w:t>
            </w:r>
          </w:p>
          <w:p w14:paraId="266F16A0" w14:textId="77777777" w:rsidR="007116A7" w:rsidRPr="007116A7" w:rsidRDefault="007116A7" w:rsidP="00B529B7">
            <w:pPr>
              <w:spacing w:after="120"/>
              <w:ind w:left="811" w:hanging="244"/>
              <w:rPr>
                <w:rFonts w:cs="Arial"/>
                <w:bCs/>
                <w:szCs w:val="24"/>
              </w:rPr>
            </w:pPr>
            <w:r w:rsidRPr="007116A7">
              <w:rPr>
                <w:rFonts w:cs="Arial"/>
                <w:bCs/>
                <w:szCs w:val="24"/>
              </w:rPr>
              <w:t>o</w:t>
            </w:r>
            <w:r w:rsidRPr="007116A7">
              <w:rPr>
                <w:rFonts w:cs="Arial"/>
                <w:bCs/>
                <w:szCs w:val="24"/>
              </w:rPr>
              <w:tab/>
              <w:t>Those aged 50 – 64 are less likely to be in employment and more likely to be economically inactive than those aged 25 – 49</w:t>
            </w:r>
          </w:p>
          <w:p w14:paraId="0EC3CD3F" w14:textId="61C3FB84"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Youth unemployment is associated with lifelong problems such as worklessness, poverty, lower life satisfaction and ill-health</w:t>
            </w:r>
          </w:p>
          <w:p w14:paraId="08A5AA8E" w14:textId="09FC0B41"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For young people, NEET status intersects with other factors such as disability, low educational attainment and poor physical and mental health</w:t>
            </w:r>
          </w:p>
          <w:p w14:paraId="568CB3B2" w14:textId="43DAD586"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For older workers increases in economic inactivity may be linked to long term sickness, rising retirement age and increased levels of informal caring</w:t>
            </w:r>
          </w:p>
          <w:p w14:paraId="6ED690A6" w14:textId="08E94989"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A much lower proportion of those over 65 quoted employment as one of the 3 most important issues they face in day to day life (2.9% compared to 9.1% of all respondents)</w:t>
            </w:r>
          </w:p>
          <w:p w14:paraId="38781A1B" w14:textId="59758CD4"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In the 2011 Census 15% of the population was 65 or older and 21% were children under the age of 16</w:t>
            </w:r>
          </w:p>
          <w:p w14:paraId="728E4390" w14:textId="758D8475"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The Fair Employment Monitoring Report 30 shows that in 2019 50.5% of the monitored workforce consisted of Protestant Employees and 49.5% of Catholic Employees. In contrast the equivalent figures in 1990 were 65.1% and 34.9%</w:t>
            </w:r>
          </w:p>
          <w:p w14:paraId="56C2EFA3" w14:textId="01EBECF8"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In 2019 Roman Catholics accounted for 53.3% of all appointments and Protestants 46.7%, The Roman Catholic percentage of appointments has exceeded that of Protestants since 2006</w:t>
            </w:r>
          </w:p>
          <w:p w14:paraId="0F7011AA" w14:textId="1CCC2901"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In 2019, members of the Protestant community [50.6%] represented a greater share of the private sector workforce. The Roman Catholic community share of the private sector workforce was 49.4%</w:t>
            </w:r>
          </w:p>
          <w:p w14:paraId="67DF9729" w14:textId="4036F7A9" w:rsidR="007116A7" w:rsidRPr="007116A7" w:rsidRDefault="007116A7" w:rsidP="00B529B7">
            <w:pPr>
              <w:spacing w:after="120"/>
              <w:ind w:left="244" w:hanging="244"/>
              <w:rPr>
                <w:rFonts w:cs="Arial"/>
                <w:bCs/>
                <w:szCs w:val="24"/>
              </w:rPr>
            </w:pPr>
            <w:r w:rsidRPr="007116A7">
              <w:rPr>
                <w:rFonts w:cs="Arial"/>
                <w:bCs/>
                <w:szCs w:val="24"/>
              </w:rPr>
              <w:lastRenderedPageBreak/>
              <w:t>•</w:t>
            </w:r>
            <w:r w:rsidRPr="007116A7">
              <w:rPr>
                <w:rFonts w:cs="Arial"/>
                <w:bCs/>
                <w:szCs w:val="24"/>
              </w:rPr>
              <w:tab/>
              <w:t xml:space="preserve">In 2019, the Protestant community share of the public sector workforce was 50.2%. During the period 2001-2019, the Protestant community held a larger share of the public sector workforce, although this has been gradually decreasing since 2001 when it stood at 59.8%. </w:t>
            </w:r>
          </w:p>
          <w:p w14:paraId="07B6FCCE" w14:textId="77777777"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No separate information is available in relation to Political Opinion. However, in the traditional Northern Ireland communities there is a degree of correlation between Religious Belief and Political Opinion.</w:t>
            </w:r>
          </w:p>
          <w:p w14:paraId="120D1673" w14:textId="754B311D"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In its Statement of Key Inequalities, ECNI identifie</w:t>
            </w:r>
            <w:r w:rsidR="007D3015">
              <w:rPr>
                <w:rFonts w:cs="Arial"/>
                <w:bCs/>
                <w:szCs w:val="24"/>
              </w:rPr>
              <w:t>d</w:t>
            </w:r>
            <w:r w:rsidRPr="007116A7">
              <w:rPr>
                <w:rFonts w:cs="Arial"/>
                <w:bCs/>
                <w:szCs w:val="24"/>
              </w:rPr>
              <w:t xml:space="preserve"> that</w:t>
            </w:r>
          </w:p>
          <w:p w14:paraId="1B22E251" w14:textId="77777777" w:rsidR="007116A7" w:rsidRPr="007116A7" w:rsidRDefault="007116A7" w:rsidP="007116A7">
            <w:pPr>
              <w:spacing w:after="120"/>
              <w:ind w:left="811" w:hanging="283"/>
              <w:rPr>
                <w:rFonts w:cs="Arial"/>
                <w:bCs/>
                <w:szCs w:val="24"/>
              </w:rPr>
            </w:pPr>
            <w:r w:rsidRPr="007116A7">
              <w:rPr>
                <w:rFonts w:cs="Arial"/>
                <w:bCs/>
                <w:szCs w:val="24"/>
              </w:rPr>
              <w:t>o</w:t>
            </w:r>
            <w:r w:rsidRPr="007116A7">
              <w:rPr>
                <w:rFonts w:cs="Arial"/>
                <w:bCs/>
                <w:szCs w:val="24"/>
              </w:rPr>
              <w:tab/>
              <w:t>Irish Travellers are less likely to be in employment than all other ethnic groups</w:t>
            </w:r>
          </w:p>
          <w:p w14:paraId="2450FB2B" w14:textId="77777777" w:rsidR="007116A7" w:rsidRPr="007116A7" w:rsidRDefault="007116A7" w:rsidP="007116A7">
            <w:pPr>
              <w:spacing w:after="120"/>
              <w:ind w:left="811" w:hanging="283"/>
              <w:rPr>
                <w:rFonts w:cs="Arial"/>
                <w:bCs/>
                <w:szCs w:val="24"/>
              </w:rPr>
            </w:pPr>
            <w:r w:rsidRPr="007116A7">
              <w:rPr>
                <w:rFonts w:cs="Arial"/>
                <w:bCs/>
                <w:szCs w:val="24"/>
              </w:rPr>
              <w:t>o</w:t>
            </w:r>
            <w:r w:rsidRPr="007116A7">
              <w:rPr>
                <w:rFonts w:cs="Arial"/>
                <w:bCs/>
                <w:szCs w:val="24"/>
              </w:rPr>
              <w:tab/>
              <w:t>Migrant workers, particularly those from Eastern Europe, are subject to industrial and occupational segregation</w:t>
            </w:r>
          </w:p>
          <w:p w14:paraId="51C06DDF" w14:textId="77777777" w:rsidR="007116A7" w:rsidRPr="007116A7" w:rsidRDefault="007116A7" w:rsidP="007116A7">
            <w:pPr>
              <w:spacing w:after="120"/>
              <w:ind w:left="811" w:hanging="283"/>
              <w:rPr>
                <w:rFonts w:cs="Arial"/>
                <w:bCs/>
                <w:szCs w:val="24"/>
              </w:rPr>
            </w:pPr>
            <w:r w:rsidRPr="007116A7">
              <w:rPr>
                <w:rFonts w:cs="Arial"/>
                <w:bCs/>
                <w:szCs w:val="24"/>
              </w:rPr>
              <w:t>o</w:t>
            </w:r>
            <w:r w:rsidRPr="007116A7">
              <w:rPr>
                <w:rFonts w:cs="Arial"/>
                <w:bCs/>
                <w:szCs w:val="24"/>
              </w:rPr>
              <w:tab/>
              <w:t>Migrant workers and refugees face multiple barriers to employment</w:t>
            </w:r>
          </w:p>
          <w:p w14:paraId="5E43E844" w14:textId="77777777" w:rsidR="007116A7" w:rsidRPr="007116A7" w:rsidRDefault="007116A7" w:rsidP="007116A7">
            <w:pPr>
              <w:spacing w:after="120"/>
              <w:ind w:left="811" w:hanging="283"/>
              <w:rPr>
                <w:rFonts w:cs="Arial"/>
                <w:bCs/>
                <w:szCs w:val="24"/>
              </w:rPr>
            </w:pPr>
            <w:r w:rsidRPr="007116A7">
              <w:rPr>
                <w:rFonts w:cs="Arial"/>
                <w:bCs/>
                <w:szCs w:val="24"/>
              </w:rPr>
              <w:t>o</w:t>
            </w:r>
            <w:r w:rsidRPr="007116A7">
              <w:rPr>
                <w:rFonts w:cs="Arial"/>
                <w:bCs/>
                <w:szCs w:val="24"/>
              </w:rPr>
              <w:tab/>
              <w:t>Migrant workers are vulnerable to exploitation</w:t>
            </w:r>
          </w:p>
          <w:p w14:paraId="6E3253E3" w14:textId="77777777" w:rsidR="007116A7" w:rsidRPr="007116A7" w:rsidRDefault="007116A7" w:rsidP="007116A7">
            <w:pPr>
              <w:spacing w:after="120"/>
              <w:ind w:left="811" w:hanging="283"/>
              <w:rPr>
                <w:rFonts w:cs="Arial"/>
                <w:bCs/>
                <w:szCs w:val="24"/>
              </w:rPr>
            </w:pPr>
            <w:r w:rsidRPr="007116A7">
              <w:rPr>
                <w:rFonts w:cs="Arial"/>
                <w:bCs/>
                <w:szCs w:val="24"/>
              </w:rPr>
              <w:t>o</w:t>
            </w:r>
            <w:r w:rsidRPr="007116A7">
              <w:rPr>
                <w:rFonts w:cs="Arial"/>
                <w:bCs/>
                <w:szCs w:val="24"/>
              </w:rPr>
              <w:tab/>
              <w:t>Migrant workers are among the groups facing prejudicial attitudes within the workplace</w:t>
            </w:r>
          </w:p>
          <w:p w14:paraId="1BC92DD8" w14:textId="4AF3FA6A"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On Census Day in 2011 1.8% of the population of Northern Ireland belonged to minority ethnic groups, compared to 0.85 in the 2001 Census</w:t>
            </w:r>
          </w:p>
          <w:p w14:paraId="0FF06D0C" w14:textId="55CDFBE9"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Dungannon LGD had the highest proportion of persons born in EU Accession Countries on Census Day 2011 at 6.8% of its population</w:t>
            </w:r>
          </w:p>
          <w:p w14:paraId="159413F8" w14:textId="5819EED4"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Polish was the second most common language, after English, on Census Day 2011, spoken by 1% of the population</w:t>
            </w:r>
          </w:p>
          <w:p w14:paraId="6CCEC3D1" w14:textId="6B872208"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As a consequence of low, or unknown, numbers little data is available on minority ethnic groups in relation to employment in Northern Ireland</w:t>
            </w:r>
          </w:p>
          <w:p w14:paraId="533B2801" w14:textId="25474D87"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Irish Travellers are less likely to be in employment than all other ethnic groups and are more likely to be economically inactive</w:t>
            </w:r>
          </w:p>
          <w:p w14:paraId="1F7A8A9A" w14:textId="6D4C1FF2"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In its Statement of Key Inequalities, ECNI identifie</w:t>
            </w:r>
            <w:r w:rsidR="007D3015">
              <w:rPr>
                <w:rFonts w:cs="Arial"/>
                <w:bCs/>
                <w:szCs w:val="24"/>
              </w:rPr>
              <w:t>d</w:t>
            </w:r>
            <w:r w:rsidRPr="007116A7">
              <w:rPr>
                <w:rFonts w:cs="Arial"/>
                <w:bCs/>
                <w:szCs w:val="24"/>
              </w:rPr>
              <w:t xml:space="preserve"> that</w:t>
            </w:r>
            <w:r>
              <w:rPr>
                <w:rFonts w:cs="Arial"/>
                <w:bCs/>
                <w:szCs w:val="24"/>
              </w:rPr>
              <w:t>:</w:t>
            </w:r>
          </w:p>
          <w:p w14:paraId="3B24006D" w14:textId="77777777" w:rsidR="007116A7" w:rsidRPr="007116A7" w:rsidRDefault="007116A7" w:rsidP="007116A7">
            <w:pPr>
              <w:spacing w:after="120"/>
              <w:ind w:left="811" w:hanging="244"/>
              <w:rPr>
                <w:rFonts w:cs="Arial"/>
                <w:bCs/>
                <w:szCs w:val="24"/>
              </w:rPr>
            </w:pPr>
            <w:r w:rsidRPr="007116A7">
              <w:rPr>
                <w:rFonts w:cs="Arial"/>
                <w:bCs/>
                <w:szCs w:val="24"/>
              </w:rPr>
              <w:t>o</w:t>
            </w:r>
            <w:r w:rsidRPr="007116A7">
              <w:rPr>
                <w:rFonts w:cs="Arial"/>
                <w:bCs/>
                <w:szCs w:val="24"/>
              </w:rPr>
              <w:tab/>
              <w:t>There is a persistent employment gap between people with and without disabilities</w:t>
            </w:r>
          </w:p>
          <w:p w14:paraId="6F311E33" w14:textId="77777777" w:rsidR="007116A7" w:rsidRPr="007116A7" w:rsidRDefault="007116A7" w:rsidP="007116A7">
            <w:pPr>
              <w:spacing w:after="120"/>
              <w:ind w:left="811" w:hanging="244"/>
              <w:rPr>
                <w:rFonts w:cs="Arial"/>
                <w:bCs/>
                <w:szCs w:val="24"/>
              </w:rPr>
            </w:pPr>
            <w:r w:rsidRPr="007116A7">
              <w:rPr>
                <w:rFonts w:cs="Arial"/>
                <w:bCs/>
                <w:szCs w:val="24"/>
              </w:rPr>
              <w:t>o</w:t>
            </w:r>
            <w:r w:rsidRPr="007116A7">
              <w:rPr>
                <w:rFonts w:cs="Arial"/>
                <w:bCs/>
                <w:szCs w:val="24"/>
              </w:rPr>
              <w:tab/>
              <w:t>People with disabilities are among the groups facing prejudicial attitudes within the workplace</w:t>
            </w:r>
          </w:p>
          <w:p w14:paraId="4A608B1B" w14:textId="7C91B03D"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People with disabilities are much less likely to be in employment than people without disabilities. This employment gap is persistent having shown little change between 2006 and 2016</w:t>
            </w:r>
          </w:p>
          <w:p w14:paraId="74C558F5" w14:textId="1E55BD04" w:rsidR="007116A7" w:rsidRPr="007116A7" w:rsidRDefault="007116A7" w:rsidP="007116A7">
            <w:pPr>
              <w:spacing w:after="120"/>
              <w:ind w:left="244" w:hanging="244"/>
              <w:rPr>
                <w:rFonts w:cs="Arial"/>
                <w:bCs/>
                <w:szCs w:val="24"/>
              </w:rPr>
            </w:pPr>
            <w:r w:rsidRPr="007116A7">
              <w:rPr>
                <w:rFonts w:cs="Arial"/>
                <w:bCs/>
                <w:szCs w:val="24"/>
              </w:rPr>
              <w:lastRenderedPageBreak/>
              <w:t>•</w:t>
            </w:r>
            <w:r w:rsidRPr="007116A7">
              <w:rPr>
                <w:rFonts w:cs="Arial"/>
                <w:bCs/>
                <w:szCs w:val="24"/>
              </w:rPr>
              <w:tab/>
              <w:t>For people with disabilities gaps in educational attainment partially explain the employment gap, but participation in employment is still lower for people with disabilities than non-disable people with equivalent qualifications</w:t>
            </w:r>
          </w:p>
          <w:p w14:paraId="51F29A27" w14:textId="30A6387A"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People with disabilities face wider barriers to employment, such as access to transport, the physical environment and limited employment support which can impact on their ability to participate in employment</w:t>
            </w:r>
          </w:p>
          <w:p w14:paraId="0F00C2F5" w14:textId="6848A410"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Among people with a disability, people with mental health issues and/or a learning disability are less likely to be employed than other people with a disability</w:t>
            </w:r>
          </w:p>
          <w:p w14:paraId="2B43DA71" w14:textId="37E9C07C"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Those who are single are more likely to be economically inactive than those who are married, co-habiting or in a civil partnership</w:t>
            </w:r>
          </w:p>
          <w:p w14:paraId="651FE5AF" w14:textId="0E036CFC"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Those who are separated, divorced or widowed are more likely to be economically inactive than those who are married, co-habiting or in a civil partnership and those who are single</w:t>
            </w:r>
          </w:p>
          <w:p w14:paraId="13BB531A" w14:textId="6C42F88F"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Those who were single were more likely than those who were married, divorced or widowed to quote employment as one of the 3 most important issues than face in day to day life (12.4%, compared to 8.8%, 7.5% and 4.6%)</w:t>
            </w:r>
          </w:p>
          <w:p w14:paraId="146FCED6" w14:textId="4DC2BC72"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 xml:space="preserve">Although only indirectly related to marital status, lone parents with dependants experience particular barriers to employment, including the cost and availability of childcare </w:t>
            </w:r>
          </w:p>
          <w:p w14:paraId="205E98AC" w14:textId="012BE724"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Little background or contextual data is available on lesbian, gay and bisexual people in Northern Ireland</w:t>
            </w:r>
          </w:p>
          <w:p w14:paraId="6813C969" w14:textId="477E7082"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Lesbian, gay and bisexual people are subject to prejudicial attitudes in the workplace which may impact on their ability to participate in or sustain employment</w:t>
            </w:r>
          </w:p>
          <w:p w14:paraId="5A22B38F" w14:textId="45502D1E"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There are data gaps in relation to lesbian, gay and bisexual peoples’ experience of the Northern Ireland labour market, these data gaps mean that it is difficult to monitor inequalities in relation to their participation in and experience of employment</w:t>
            </w:r>
          </w:p>
          <w:p w14:paraId="004F5CCE" w14:textId="059526CD" w:rsidR="007116A7" w:rsidRPr="007116A7" w:rsidRDefault="007116A7" w:rsidP="007116A7">
            <w:pPr>
              <w:spacing w:after="120"/>
              <w:ind w:left="244" w:hanging="244"/>
              <w:rPr>
                <w:rFonts w:cs="Arial"/>
                <w:bCs/>
                <w:szCs w:val="24"/>
              </w:rPr>
            </w:pPr>
            <w:r w:rsidRPr="007116A7">
              <w:rPr>
                <w:rFonts w:cs="Arial"/>
                <w:bCs/>
                <w:szCs w:val="24"/>
              </w:rPr>
              <w:t>•</w:t>
            </w:r>
            <w:r w:rsidRPr="007116A7">
              <w:rPr>
                <w:rFonts w:cs="Arial"/>
                <w:bCs/>
                <w:szCs w:val="24"/>
              </w:rPr>
              <w:tab/>
              <w:t>Lone parents with dependants experience particular barriers to employment, including the cost and availability of childcare</w:t>
            </w:r>
          </w:p>
          <w:p w14:paraId="1068CF33" w14:textId="09F42245" w:rsidR="004544B3" w:rsidRPr="00CE752D" w:rsidRDefault="007116A7" w:rsidP="00CE752D">
            <w:pPr>
              <w:spacing w:after="120"/>
              <w:ind w:left="244" w:hanging="244"/>
              <w:rPr>
                <w:rFonts w:cs="Arial"/>
                <w:bCs/>
                <w:szCs w:val="24"/>
              </w:rPr>
            </w:pPr>
            <w:r w:rsidRPr="007116A7">
              <w:rPr>
                <w:rFonts w:cs="Arial"/>
                <w:bCs/>
                <w:szCs w:val="24"/>
              </w:rPr>
              <w:t>•</w:t>
            </w:r>
            <w:r w:rsidRPr="007116A7">
              <w:rPr>
                <w:rFonts w:cs="Arial"/>
                <w:bCs/>
                <w:szCs w:val="24"/>
              </w:rPr>
              <w:tab/>
              <w:t>Those with dependants were more likely than those with no dependants to quote employment as one of the 3 main issues they face in their day to day life (10.8% compared to 8.2%)</w:t>
            </w:r>
          </w:p>
        </w:tc>
      </w:tr>
    </w:tbl>
    <w:p w14:paraId="28D28BBB" w14:textId="77777777" w:rsidR="006C4E50" w:rsidRDefault="006C4E50" w:rsidP="006C4E50">
      <w:pPr>
        <w:rPr>
          <w:rFonts w:cs="Arial"/>
          <w:b/>
          <w:sz w:val="28"/>
          <w:szCs w:val="28"/>
        </w:rPr>
      </w:pPr>
    </w:p>
    <w:p w14:paraId="30473F27" w14:textId="77777777" w:rsidR="006C4E50" w:rsidRDefault="006C4E50" w:rsidP="006C4E50">
      <w:pPr>
        <w:rPr>
          <w:rFonts w:cs="Arial"/>
          <w:b/>
          <w:sz w:val="28"/>
          <w:szCs w:val="28"/>
        </w:rPr>
      </w:pPr>
    </w:p>
    <w:p w14:paraId="384E9A2E" w14:textId="77777777" w:rsidR="006C4E50" w:rsidRDefault="006C4E50" w:rsidP="006C4E50">
      <w:pPr>
        <w:rPr>
          <w:rFonts w:cs="Arial"/>
          <w:b/>
          <w:sz w:val="28"/>
          <w:szCs w:val="28"/>
        </w:rPr>
      </w:pPr>
    </w:p>
    <w:p w14:paraId="3A7D967A" w14:textId="77777777" w:rsidR="006C4E50" w:rsidRPr="007D1056" w:rsidRDefault="006C4E50" w:rsidP="006C4E50">
      <w:pPr>
        <w:rPr>
          <w:rFonts w:cs="Arial"/>
          <w:b/>
          <w:sz w:val="28"/>
          <w:szCs w:val="28"/>
        </w:rPr>
      </w:pPr>
      <w:r>
        <w:rPr>
          <w:rFonts w:cs="Arial"/>
          <w:b/>
          <w:sz w:val="28"/>
          <w:szCs w:val="28"/>
        </w:rPr>
        <w:t>Part</w:t>
      </w:r>
      <w:r w:rsidRPr="007D1056">
        <w:rPr>
          <w:rFonts w:cs="Arial"/>
          <w:b/>
          <w:sz w:val="28"/>
          <w:szCs w:val="28"/>
        </w:rPr>
        <w:t xml:space="preserve"> 2</w:t>
      </w:r>
      <w:r>
        <w:rPr>
          <w:rFonts w:cs="Arial"/>
          <w:b/>
          <w:sz w:val="28"/>
          <w:szCs w:val="28"/>
        </w:rPr>
        <w:t>. Screening q</w:t>
      </w:r>
      <w:r w:rsidRPr="007D1056">
        <w:rPr>
          <w:rFonts w:cs="Arial"/>
          <w:b/>
          <w:sz w:val="28"/>
          <w:szCs w:val="28"/>
        </w:rPr>
        <w:t xml:space="preserve">uestions </w:t>
      </w:r>
    </w:p>
    <w:p w14:paraId="7F028FE5" w14:textId="77777777" w:rsidR="006C4E50" w:rsidRDefault="006C4E50" w:rsidP="006C4E50">
      <w:pPr>
        <w:rPr>
          <w:rFonts w:cs="Arial"/>
          <w:sz w:val="28"/>
          <w:szCs w:val="28"/>
        </w:rPr>
      </w:pPr>
    </w:p>
    <w:p w14:paraId="205752A2" w14:textId="77777777" w:rsidR="006C4E50" w:rsidRPr="00D91F4E" w:rsidRDefault="006C4E50" w:rsidP="006C4E50">
      <w:pPr>
        <w:rPr>
          <w:rFonts w:cs="Arial"/>
          <w:b/>
          <w:sz w:val="28"/>
          <w:szCs w:val="28"/>
        </w:rPr>
      </w:pPr>
      <w:r w:rsidRPr="00D91F4E">
        <w:rPr>
          <w:rFonts w:cs="Arial"/>
          <w:b/>
          <w:sz w:val="28"/>
          <w:szCs w:val="28"/>
        </w:rPr>
        <w:t xml:space="preserve">Introduction </w:t>
      </w:r>
    </w:p>
    <w:p w14:paraId="5109CFDE" w14:textId="77777777" w:rsidR="006C4E50" w:rsidRPr="00B81381" w:rsidRDefault="006C4E50" w:rsidP="006C4E50">
      <w:pPr>
        <w:rPr>
          <w:rFonts w:cs="Arial"/>
          <w:sz w:val="28"/>
          <w:szCs w:val="28"/>
        </w:rPr>
      </w:pPr>
    </w:p>
    <w:p w14:paraId="13494A8F" w14:textId="77777777" w:rsidR="006C7A28" w:rsidRPr="006C7A28" w:rsidRDefault="006C7A28" w:rsidP="006C7A28">
      <w:pPr>
        <w:rPr>
          <w:rFonts w:cs="Arial"/>
          <w:b/>
          <w:color w:val="2F5496"/>
          <w:sz w:val="28"/>
          <w:szCs w:val="28"/>
        </w:rPr>
      </w:pPr>
      <w:r w:rsidRPr="006C7A28">
        <w:rPr>
          <w:rFonts w:cs="Arial"/>
          <w:b/>
          <w:color w:val="2F5496"/>
          <w:sz w:val="28"/>
          <w:szCs w:val="28"/>
        </w:rPr>
        <w:t xml:space="preserve">Introduction </w:t>
      </w:r>
    </w:p>
    <w:p w14:paraId="7DBE140E" w14:textId="77777777" w:rsidR="006C7A28" w:rsidRPr="006C7A28" w:rsidRDefault="006C7A28" w:rsidP="006C7A28">
      <w:pPr>
        <w:rPr>
          <w:rFonts w:cs="Arial"/>
          <w:sz w:val="28"/>
          <w:szCs w:val="28"/>
        </w:rPr>
      </w:pPr>
    </w:p>
    <w:p w14:paraId="00146190" w14:textId="77777777" w:rsidR="006C7A28" w:rsidRPr="006C7A28" w:rsidRDefault="006C7A28" w:rsidP="006C7A28">
      <w:pPr>
        <w:autoSpaceDE w:val="0"/>
        <w:autoSpaceDN w:val="0"/>
        <w:adjustRightInd w:val="0"/>
        <w:rPr>
          <w:rFonts w:cs="Arial"/>
          <w:sz w:val="28"/>
          <w:szCs w:val="28"/>
        </w:rPr>
      </w:pPr>
      <w:r w:rsidRPr="006C7A28">
        <w:rPr>
          <w:rFonts w:cs="Arial"/>
          <w:sz w:val="28"/>
          <w:szCs w:val="28"/>
        </w:rPr>
        <w:t>In making a decision as to whether or not there is a need to carry out an equality impact assessment, the public authority should consider its answers to the questions 1-4 which are given on pages 66-68 of this Guide.</w:t>
      </w:r>
    </w:p>
    <w:p w14:paraId="28EF8A2F" w14:textId="77777777" w:rsidR="006C7A28" w:rsidRPr="006C7A28" w:rsidRDefault="006C7A28" w:rsidP="006C7A28">
      <w:pPr>
        <w:autoSpaceDE w:val="0"/>
        <w:autoSpaceDN w:val="0"/>
        <w:adjustRightInd w:val="0"/>
        <w:rPr>
          <w:rFonts w:cs="Arial"/>
          <w:sz w:val="28"/>
          <w:szCs w:val="28"/>
        </w:rPr>
      </w:pPr>
    </w:p>
    <w:p w14:paraId="089501C0" w14:textId="77777777" w:rsidR="006C7A28" w:rsidRPr="006C7A28" w:rsidRDefault="006C7A28" w:rsidP="006C7A28">
      <w:pPr>
        <w:rPr>
          <w:rFonts w:cs="Arial"/>
          <w:sz w:val="28"/>
          <w:szCs w:val="28"/>
        </w:rPr>
      </w:pPr>
      <w:r w:rsidRPr="006C7A28">
        <w:rPr>
          <w:rFonts w:cs="Arial"/>
          <w:sz w:val="28"/>
          <w:szCs w:val="28"/>
        </w:rPr>
        <w:t xml:space="preserve">If the public authority’s conclusion is </w:t>
      </w:r>
      <w:r w:rsidRPr="006C7A28">
        <w:rPr>
          <w:rFonts w:cs="Arial"/>
          <w:b/>
          <w:sz w:val="28"/>
          <w:szCs w:val="28"/>
          <w:u w:val="single"/>
        </w:rPr>
        <w:t>none</w:t>
      </w:r>
      <w:r w:rsidRPr="006C7A28">
        <w:rPr>
          <w:rFonts w:cs="Arial"/>
          <w:sz w:val="28"/>
          <w:szCs w:val="28"/>
        </w:rPr>
        <w:t xml:space="preserve"> in respect of all of the </w:t>
      </w:r>
      <w:smartTag w:uri="urn:schemas-microsoft-com:office:smarttags" w:element="PersonName">
        <w:r w:rsidRPr="006C7A28">
          <w:rPr>
            <w:rFonts w:cs="Arial"/>
            <w:sz w:val="28"/>
            <w:szCs w:val="28"/>
          </w:rPr>
          <w:t>Section 75</w:t>
        </w:r>
      </w:smartTag>
      <w:r w:rsidRPr="006C7A28">
        <w:rPr>
          <w:rFonts w:cs="Arial"/>
          <w:sz w:val="28"/>
          <w:szCs w:val="28"/>
        </w:rPr>
        <w:t xml:space="preserve"> equality of opportunity and/or good relations categories, then the public authority may decide to screen the policy out.  </w:t>
      </w:r>
      <w:r w:rsidRPr="006C7A28">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5770C73D" w14:textId="77777777" w:rsidR="006C7A28" w:rsidRPr="006C7A28" w:rsidRDefault="006C7A28" w:rsidP="006C7A28">
      <w:pPr>
        <w:autoSpaceDE w:val="0"/>
        <w:autoSpaceDN w:val="0"/>
        <w:adjustRightInd w:val="0"/>
        <w:rPr>
          <w:rFonts w:cs="Arial"/>
          <w:sz w:val="28"/>
          <w:szCs w:val="28"/>
        </w:rPr>
      </w:pPr>
    </w:p>
    <w:p w14:paraId="1C985A9C" w14:textId="77777777" w:rsidR="006C7A28" w:rsidRPr="006C7A28" w:rsidRDefault="006C7A28" w:rsidP="006C7A28">
      <w:pPr>
        <w:autoSpaceDE w:val="0"/>
        <w:autoSpaceDN w:val="0"/>
        <w:adjustRightInd w:val="0"/>
        <w:rPr>
          <w:rFonts w:cs="Arial"/>
          <w:sz w:val="28"/>
          <w:szCs w:val="28"/>
        </w:rPr>
      </w:pPr>
      <w:r w:rsidRPr="006C7A28">
        <w:rPr>
          <w:rFonts w:cs="Arial"/>
          <w:sz w:val="28"/>
          <w:szCs w:val="28"/>
        </w:rPr>
        <w:t xml:space="preserve">If the public authority’s conclusion is </w:t>
      </w:r>
      <w:r w:rsidRPr="006C7A28">
        <w:rPr>
          <w:rFonts w:cs="Arial"/>
          <w:b/>
          <w:sz w:val="28"/>
          <w:szCs w:val="28"/>
          <w:u w:val="single"/>
        </w:rPr>
        <w:t>major</w:t>
      </w:r>
      <w:r w:rsidRPr="006C7A28">
        <w:rPr>
          <w:rFonts w:cs="Arial"/>
          <w:sz w:val="28"/>
          <w:szCs w:val="28"/>
        </w:rPr>
        <w:t xml:space="preserve"> in respect of one or more of the </w:t>
      </w:r>
      <w:smartTag w:uri="urn:schemas-microsoft-com:office:smarttags" w:element="PersonName">
        <w:r w:rsidRPr="006C7A28">
          <w:rPr>
            <w:rFonts w:cs="Arial"/>
            <w:sz w:val="28"/>
            <w:szCs w:val="28"/>
          </w:rPr>
          <w:t>Section 75</w:t>
        </w:r>
      </w:smartTag>
      <w:r w:rsidRPr="006C7A28">
        <w:rPr>
          <w:rFonts w:cs="Arial"/>
          <w:sz w:val="28"/>
          <w:szCs w:val="28"/>
        </w:rPr>
        <w:t xml:space="preserve"> equality of opportunity and/or good relations categories, then consideration should be given to subjecting the policy to the equality impact assessment procedure. </w:t>
      </w:r>
    </w:p>
    <w:p w14:paraId="1BD8D848" w14:textId="77777777" w:rsidR="006C7A28" w:rsidRPr="006C7A28" w:rsidRDefault="006C7A28" w:rsidP="006C7A28">
      <w:pPr>
        <w:autoSpaceDE w:val="0"/>
        <w:autoSpaceDN w:val="0"/>
        <w:adjustRightInd w:val="0"/>
        <w:rPr>
          <w:rFonts w:cs="Arial"/>
          <w:sz w:val="28"/>
          <w:szCs w:val="28"/>
        </w:rPr>
      </w:pPr>
    </w:p>
    <w:p w14:paraId="68EE122D" w14:textId="77777777" w:rsidR="006C7A28" w:rsidRPr="006C7A28" w:rsidRDefault="006C7A28" w:rsidP="006C7A28">
      <w:pPr>
        <w:tabs>
          <w:tab w:val="left" w:pos="900"/>
        </w:tabs>
        <w:autoSpaceDE w:val="0"/>
        <w:autoSpaceDN w:val="0"/>
        <w:adjustRightInd w:val="0"/>
        <w:rPr>
          <w:rFonts w:cs="Arial"/>
          <w:sz w:val="28"/>
          <w:szCs w:val="28"/>
        </w:rPr>
      </w:pPr>
      <w:r w:rsidRPr="006C7A28">
        <w:rPr>
          <w:rFonts w:cs="Arial"/>
          <w:sz w:val="28"/>
          <w:szCs w:val="28"/>
        </w:rPr>
        <w:t xml:space="preserve">If the public authority’s conclusion is </w:t>
      </w:r>
      <w:r w:rsidRPr="006C7A28">
        <w:rPr>
          <w:rFonts w:cs="Arial"/>
          <w:b/>
          <w:sz w:val="28"/>
          <w:szCs w:val="28"/>
          <w:u w:val="single"/>
        </w:rPr>
        <w:t>minor</w:t>
      </w:r>
      <w:r w:rsidRPr="006C7A28">
        <w:rPr>
          <w:rFonts w:cs="Arial"/>
          <w:sz w:val="28"/>
          <w:szCs w:val="28"/>
        </w:rPr>
        <w:t xml:space="preserve"> in respect of one or more of the </w:t>
      </w:r>
      <w:smartTag w:uri="urn:schemas-microsoft-com:office:smarttags" w:element="PersonName">
        <w:r w:rsidRPr="006C7A28">
          <w:rPr>
            <w:rFonts w:cs="Arial"/>
            <w:sz w:val="28"/>
            <w:szCs w:val="28"/>
          </w:rPr>
          <w:t>Section 75</w:t>
        </w:r>
      </w:smartTag>
      <w:r w:rsidRPr="006C7A28">
        <w:rPr>
          <w:rFonts w:cs="Arial"/>
          <w:sz w:val="28"/>
          <w:szCs w:val="28"/>
        </w:rPr>
        <w:t xml:space="preserve"> equality categories and/or good relations categories, then consideration should still be given to proceeding with an equality impact assessment, or to:</w:t>
      </w:r>
    </w:p>
    <w:p w14:paraId="103C4841" w14:textId="77777777" w:rsidR="006C7A28" w:rsidRPr="006C7A28" w:rsidRDefault="006C7A28" w:rsidP="006C7A28">
      <w:pPr>
        <w:autoSpaceDE w:val="0"/>
        <w:autoSpaceDN w:val="0"/>
        <w:adjustRightInd w:val="0"/>
        <w:rPr>
          <w:rFonts w:cs="Arial"/>
          <w:sz w:val="28"/>
          <w:szCs w:val="28"/>
        </w:rPr>
      </w:pPr>
    </w:p>
    <w:p w14:paraId="73AC9B69" w14:textId="77777777" w:rsidR="006C7A28" w:rsidRPr="006C7A28" w:rsidRDefault="006C7A28" w:rsidP="006C7A28">
      <w:pPr>
        <w:numPr>
          <w:ilvl w:val="0"/>
          <w:numId w:val="2"/>
        </w:numPr>
        <w:autoSpaceDE w:val="0"/>
        <w:autoSpaceDN w:val="0"/>
        <w:adjustRightInd w:val="0"/>
        <w:rPr>
          <w:rFonts w:cs="Arial"/>
          <w:sz w:val="28"/>
          <w:szCs w:val="28"/>
        </w:rPr>
      </w:pPr>
      <w:r w:rsidRPr="006C7A28">
        <w:rPr>
          <w:rFonts w:cs="Arial"/>
          <w:sz w:val="28"/>
          <w:szCs w:val="28"/>
        </w:rPr>
        <w:t>measures to mitigate the adverse impact; or</w:t>
      </w:r>
    </w:p>
    <w:p w14:paraId="3FD2F505" w14:textId="77777777" w:rsidR="006C7A28" w:rsidRPr="006C7A28" w:rsidRDefault="006C7A28" w:rsidP="006C7A28">
      <w:pPr>
        <w:numPr>
          <w:ilvl w:val="0"/>
          <w:numId w:val="2"/>
        </w:numPr>
        <w:autoSpaceDE w:val="0"/>
        <w:autoSpaceDN w:val="0"/>
        <w:adjustRightInd w:val="0"/>
        <w:rPr>
          <w:rFonts w:cs="Arial"/>
          <w:sz w:val="28"/>
          <w:szCs w:val="28"/>
        </w:rPr>
      </w:pPr>
      <w:r w:rsidRPr="006C7A28">
        <w:rPr>
          <w:rFonts w:cs="Arial"/>
          <w:sz w:val="28"/>
          <w:szCs w:val="28"/>
        </w:rPr>
        <w:t>the introduction of an alternative policy to better promote equality of opportunity and/or good relations.</w:t>
      </w:r>
    </w:p>
    <w:p w14:paraId="1B0E8D9F" w14:textId="77777777" w:rsidR="006C7A28" w:rsidRPr="006C7A28" w:rsidRDefault="006C7A28" w:rsidP="006C7A28">
      <w:pPr>
        <w:autoSpaceDE w:val="0"/>
        <w:autoSpaceDN w:val="0"/>
        <w:adjustRightInd w:val="0"/>
        <w:rPr>
          <w:rFonts w:cs="Arial"/>
          <w:sz w:val="28"/>
          <w:szCs w:val="28"/>
        </w:rPr>
      </w:pPr>
    </w:p>
    <w:p w14:paraId="185BC735" w14:textId="77777777" w:rsidR="006C7A28" w:rsidRPr="006C7A28" w:rsidRDefault="006C7A28" w:rsidP="006C7A28">
      <w:pPr>
        <w:rPr>
          <w:rFonts w:cs="Arial"/>
          <w:b/>
          <w:sz w:val="28"/>
        </w:rPr>
      </w:pPr>
      <w:r w:rsidRPr="006C7A28">
        <w:rPr>
          <w:rFonts w:cs="Arial"/>
          <w:b/>
          <w:sz w:val="28"/>
        </w:rPr>
        <w:t>In favour of a ‘major’ impact</w:t>
      </w:r>
    </w:p>
    <w:p w14:paraId="13F609CF" w14:textId="77777777" w:rsidR="006C7A28" w:rsidRPr="006C7A28" w:rsidRDefault="006C7A28" w:rsidP="006C7A28">
      <w:pPr>
        <w:rPr>
          <w:rFonts w:cs="Arial"/>
          <w:b/>
          <w:sz w:val="28"/>
        </w:rPr>
      </w:pPr>
    </w:p>
    <w:p w14:paraId="60E2FD99" w14:textId="77777777" w:rsidR="006C7A28" w:rsidRPr="006C7A28" w:rsidRDefault="006C7A28" w:rsidP="006C7A28">
      <w:pPr>
        <w:numPr>
          <w:ilvl w:val="0"/>
          <w:numId w:val="3"/>
        </w:numPr>
        <w:spacing w:after="120"/>
        <w:rPr>
          <w:rFonts w:cs="Arial"/>
          <w:sz w:val="28"/>
        </w:rPr>
      </w:pPr>
      <w:r w:rsidRPr="006C7A28">
        <w:rPr>
          <w:rFonts w:cs="Arial"/>
          <w:sz w:val="28"/>
        </w:rPr>
        <w:t>The policy is significant in terms of its strategic importance;</w:t>
      </w:r>
    </w:p>
    <w:p w14:paraId="7F27C7A5" w14:textId="77777777" w:rsidR="006C7A28" w:rsidRPr="006C7A28" w:rsidRDefault="006C7A28" w:rsidP="006C7A28">
      <w:pPr>
        <w:numPr>
          <w:ilvl w:val="0"/>
          <w:numId w:val="3"/>
        </w:numPr>
        <w:spacing w:after="120"/>
        <w:rPr>
          <w:rFonts w:cs="Arial"/>
          <w:sz w:val="28"/>
        </w:rPr>
      </w:pPr>
      <w:r w:rsidRPr="006C7A28">
        <w:rPr>
          <w:rFonts w:cs="Arial"/>
          <w:sz w:val="28"/>
        </w:rPr>
        <w:t>Potential  equality impacts are unknown, because, for example, there is insufficient data upon which to make an assessment  or because they are complex, and it would be appropriate to conduct an equality impact assessment in order to better assess them;</w:t>
      </w:r>
    </w:p>
    <w:p w14:paraId="342308D1" w14:textId="77777777" w:rsidR="006C7A28" w:rsidRPr="006C7A28" w:rsidRDefault="006C7A28" w:rsidP="006C7A28">
      <w:pPr>
        <w:numPr>
          <w:ilvl w:val="0"/>
          <w:numId w:val="3"/>
        </w:numPr>
        <w:spacing w:after="120"/>
        <w:rPr>
          <w:rFonts w:cs="Arial"/>
          <w:sz w:val="28"/>
        </w:rPr>
      </w:pPr>
      <w:r w:rsidRPr="006C7A28">
        <w:rPr>
          <w:rFonts w:cs="Arial"/>
          <w:sz w:val="28"/>
        </w:rPr>
        <w:t>Potential equality and/or good relations impacts are likely to be adverse or are likely to be experienced disproportionately by groups of people including those who are marginalised or disadvantaged;</w:t>
      </w:r>
    </w:p>
    <w:p w14:paraId="3F1607C7" w14:textId="77777777" w:rsidR="006C7A28" w:rsidRPr="006C7A28" w:rsidRDefault="006C7A28" w:rsidP="006C7A28">
      <w:pPr>
        <w:numPr>
          <w:ilvl w:val="0"/>
          <w:numId w:val="3"/>
        </w:numPr>
        <w:spacing w:after="120"/>
        <w:rPr>
          <w:rFonts w:cs="Arial"/>
          <w:sz w:val="28"/>
        </w:rPr>
      </w:pPr>
      <w:r w:rsidRPr="006C7A28">
        <w:rPr>
          <w:rFonts w:cs="Arial"/>
          <w:sz w:val="28"/>
        </w:rPr>
        <w:lastRenderedPageBreak/>
        <w:t>Further assessment offers a valuable way to examine the evidence and develop recommendations in respect of a policy about which there are concerns amongst affected individuals and representative groups, for example in respect of multiple identities;</w:t>
      </w:r>
    </w:p>
    <w:p w14:paraId="4B352C91" w14:textId="77777777" w:rsidR="006C7A28" w:rsidRPr="006C7A28" w:rsidRDefault="006C7A28" w:rsidP="006C7A28">
      <w:pPr>
        <w:numPr>
          <w:ilvl w:val="0"/>
          <w:numId w:val="3"/>
        </w:numPr>
        <w:spacing w:after="120"/>
        <w:rPr>
          <w:rFonts w:cs="Arial"/>
          <w:sz w:val="28"/>
        </w:rPr>
      </w:pPr>
      <w:r w:rsidRPr="006C7A28">
        <w:rPr>
          <w:rFonts w:cs="Arial"/>
          <w:sz w:val="28"/>
        </w:rPr>
        <w:t>The policy is likely to be challenged by way of judicial review;</w:t>
      </w:r>
    </w:p>
    <w:p w14:paraId="51FB9742" w14:textId="77777777" w:rsidR="006C7A28" w:rsidRPr="006C7A28" w:rsidRDefault="006C7A28" w:rsidP="006C7A28">
      <w:pPr>
        <w:numPr>
          <w:ilvl w:val="0"/>
          <w:numId w:val="3"/>
        </w:numPr>
        <w:spacing w:after="120"/>
        <w:rPr>
          <w:rFonts w:cs="Arial"/>
          <w:sz w:val="28"/>
        </w:rPr>
      </w:pPr>
      <w:r w:rsidRPr="006C7A28">
        <w:rPr>
          <w:rFonts w:cs="Arial"/>
          <w:sz w:val="28"/>
        </w:rPr>
        <w:t>The policy is significant in terms of expenditure.</w:t>
      </w:r>
    </w:p>
    <w:p w14:paraId="3BE69DFC" w14:textId="77777777" w:rsidR="006C7A28" w:rsidRPr="006C7A28" w:rsidRDefault="006C7A28" w:rsidP="006C7A28">
      <w:pPr>
        <w:rPr>
          <w:rFonts w:cs="Arial"/>
          <w:b/>
          <w:sz w:val="28"/>
          <w:szCs w:val="28"/>
        </w:rPr>
      </w:pPr>
    </w:p>
    <w:p w14:paraId="1947B2AD" w14:textId="77777777" w:rsidR="006C7A28" w:rsidRPr="006C7A28" w:rsidRDefault="006C7A28" w:rsidP="006C7A28">
      <w:pPr>
        <w:rPr>
          <w:rFonts w:cs="Arial"/>
          <w:b/>
          <w:sz w:val="28"/>
        </w:rPr>
      </w:pPr>
      <w:r w:rsidRPr="006C7A28">
        <w:rPr>
          <w:rFonts w:cs="Arial"/>
          <w:b/>
          <w:sz w:val="28"/>
          <w:szCs w:val="28"/>
        </w:rPr>
        <w:t>I</w:t>
      </w:r>
      <w:r w:rsidRPr="006C7A28">
        <w:rPr>
          <w:rFonts w:cs="Arial"/>
          <w:b/>
          <w:sz w:val="28"/>
        </w:rPr>
        <w:t>n favour of ‘minor’ impact</w:t>
      </w:r>
    </w:p>
    <w:p w14:paraId="6E9E606D" w14:textId="77777777" w:rsidR="006C7A28" w:rsidRPr="006C7A28" w:rsidRDefault="006C7A28" w:rsidP="006C7A28">
      <w:pPr>
        <w:tabs>
          <w:tab w:val="left" w:pos="567"/>
        </w:tabs>
        <w:ind w:left="142"/>
        <w:rPr>
          <w:rFonts w:cs="Arial"/>
          <w:b/>
          <w:sz w:val="28"/>
        </w:rPr>
      </w:pPr>
    </w:p>
    <w:p w14:paraId="4CE61DAC" w14:textId="77777777" w:rsidR="006C7A28" w:rsidRPr="006C7A28" w:rsidRDefault="006C7A28" w:rsidP="006C7A28">
      <w:pPr>
        <w:numPr>
          <w:ilvl w:val="0"/>
          <w:numId w:val="4"/>
        </w:numPr>
        <w:spacing w:after="120"/>
        <w:rPr>
          <w:rFonts w:cs="Arial"/>
          <w:sz w:val="28"/>
        </w:rPr>
      </w:pPr>
      <w:r w:rsidRPr="006C7A28">
        <w:rPr>
          <w:rFonts w:cs="Arial"/>
          <w:sz w:val="28"/>
        </w:rPr>
        <w:t>The policy is not unlawfully discriminatory and any residual potential impacts on people are judged to be negligible;</w:t>
      </w:r>
    </w:p>
    <w:p w14:paraId="330D34DD" w14:textId="77777777" w:rsidR="006C7A28" w:rsidRPr="006C7A28" w:rsidRDefault="006C7A28" w:rsidP="006C7A28">
      <w:pPr>
        <w:numPr>
          <w:ilvl w:val="0"/>
          <w:numId w:val="4"/>
        </w:numPr>
        <w:spacing w:after="120"/>
        <w:rPr>
          <w:rFonts w:cs="Arial"/>
          <w:sz w:val="28"/>
        </w:rPr>
      </w:pPr>
      <w:r w:rsidRPr="006C7A28">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1CB1D2E9" w14:textId="77777777" w:rsidR="006C7A28" w:rsidRPr="006C7A28" w:rsidRDefault="006C7A28" w:rsidP="006C7A28">
      <w:pPr>
        <w:numPr>
          <w:ilvl w:val="0"/>
          <w:numId w:val="4"/>
        </w:numPr>
        <w:spacing w:after="120"/>
        <w:rPr>
          <w:rFonts w:cs="Arial"/>
          <w:sz w:val="28"/>
        </w:rPr>
      </w:pPr>
      <w:r w:rsidRPr="006C7A28">
        <w:rPr>
          <w:rFonts w:cs="Arial"/>
          <w:sz w:val="28"/>
        </w:rPr>
        <w:t>Any asymmetrical equality impacts caused by the policy are intentional because they are specifically designed to promote equality of opportunity for particular groups of disadvantaged people;</w:t>
      </w:r>
    </w:p>
    <w:p w14:paraId="6CF4F934" w14:textId="77777777" w:rsidR="006C7A28" w:rsidRPr="006C7A28" w:rsidRDefault="006C7A28" w:rsidP="006C7A28">
      <w:pPr>
        <w:numPr>
          <w:ilvl w:val="0"/>
          <w:numId w:val="4"/>
        </w:numPr>
        <w:spacing w:after="120"/>
        <w:rPr>
          <w:rFonts w:cs="Arial"/>
          <w:sz w:val="28"/>
        </w:rPr>
      </w:pPr>
      <w:r w:rsidRPr="006C7A28">
        <w:rPr>
          <w:rFonts w:cs="Arial"/>
          <w:sz w:val="28"/>
        </w:rPr>
        <w:t>By amending the policy there are better opportunities to better promote equality of opportunity and/or good relations.</w:t>
      </w:r>
    </w:p>
    <w:p w14:paraId="0D092173" w14:textId="77777777" w:rsidR="006C7A28" w:rsidRPr="006C7A28" w:rsidRDefault="006C7A28" w:rsidP="006C7A28">
      <w:pPr>
        <w:rPr>
          <w:sz w:val="28"/>
          <w:szCs w:val="28"/>
        </w:rPr>
      </w:pPr>
    </w:p>
    <w:p w14:paraId="3254FF70" w14:textId="77777777" w:rsidR="006C7A28" w:rsidRPr="006C7A28" w:rsidRDefault="006C7A28" w:rsidP="006C7A28">
      <w:pPr>
        <w:rPr>
          <w:b/>
          <w:sz w:val="28"/>
          <w:szCs w:val="28"/>
        </w:rPr>
      </w:pPr>
      <w:r w:rsidRPr="006C7A28">
        <w:rPr>
          <w:b/>
          <w:sz w:val="28"/>
          <w:szCs w:val="28"/>
        </w:rPr>
        <w:t>In favour of none</w:t>
      </w:r>
    </w:p>
    <w:p w14:paraId="01D82A2F" w14:textId="77777777" w:rsidR="006C7A28" w:rsidRPr="006C7A28" w:rsidRDefault="006C7A28" w:rsidP="006C7A28">
      <w:pPr>
        <w:tabs>
          <w:tab w:val="left" w:pos="360"/>
        </w:tabs>
        <w:rPr>
          <w:b/>
          <w:sz w:val="28"/>
          <w:szCs w:val="28"/>
        </w:rPr>
      </w:pPr>
      <w:r w:rsidRPr="006C7A28">
        <w:rPr>
          <w:b/>
          <w:sz w:val="28"/>
          <w:szCs w:val="28"/>
        </w:rPr>
        <w:tab/>
      </w:r>
    </w:p>
    <w:p w14:paraId="5CD6ECEB" w14:textId="77777777" w:rsidR="006C7A28" w:rsidRPr="006C7A28" w:rsidRDefault="006C7A28" w:rsidP="006C7A28">
      <w:pPr>
        <w:numPr>
          <w:ilvl w:val="0"/>
          <w:numId w:val="5"/>
        </w:numPr>
        <w:tabs>
          <w:tab w:val="left" w:pos="360"/>
        </w:tabs>
        <w:spacing w:after="120"/>
        <w:ind w:left="714" w:hanging="357"/>
        <w:rPr>
          <w:sz w:val="28"/>
          <w:szCs w:val="28"/>
        </w:rPr>
      </w:pPr>
      <w:r w:rsidRPr="006C7A28">
        <w:rPr>
          <w:sz w:val="28"/>
          <w:szCs w:val="28"/>
        </w:rPr>
        <w:t>The policy has no relevance to equality of opportunity or good relations.</w:t>
      </w:r>
    </w:p>
    <w:p w14:paraId="3C4BD4C8" w14:textId="77777777" w:rsidR="006C7A28" w:rsidRPr="006C7A28" w:rsidRDefault="006C7A28" w:rsidP="006C7A28">
      <w:pPr>
        <w:numPr>
          <w:ilvl w:val="0"/>
          <w:numId w:val="5"/>
        </w:numPr>
        <w:tabs>
          <w:tab w:val="left" w:pos="360"/>
        </w:tabs>
        <w:spacing w:after="120"/>
        <w:ind w:left="714" w:hanging="357"/>
        <w:rPr>
          <w:sz w:val="28"/>
          <w:szCs w:val="28"/>
        </w:rPr>
      </w:pPr>
      <w:r w:rsidRPr="006C7A28">
        <w:rPr>
          <w:sz w:val="28"/>
          <w:szCs w:val="28"/>
        </w:rPr>
        <w:t>The policy is purely technical in nature and will have no bearing in terms of its likely impact on equality of opportunity or good relations for people within the equality and good relations categories.</w:t>
      </w:r>
      <w:r w:rsidRPr="006C7A28">
        <w:rPr>
          <w:sz w:val="28"/>
          <w:szCs w:val="28"/>
        </w:rPr>
        <w:tab/>
      </w:r>
    </w:p>
    <w:p w14:paraId="442ECC3B" w14:textId="77777777" w:rsidR="006C7A28" w:rsidRPr="006C7A28" w:rsidRDefault="006C7A28" w:rsidP="006C7A28">
      <w:pPr>
        <w:rPr>
          <w:sz w:val="28"/>
          <w:szCs w:val="28"/>
        </w:rPr>
      </w:pPr>
    </w:p>
    <w:p w14:paraId="62B204F0" w14:textId="77777777" w:rsidR="006C7A28" w:rsidRDefault="006C7A28" w:rsidP="006C7A28">
      <w:pPr>
        <w:autoSpaceDE w:val="0"/>
        <w:autoSpaceDN w:val="0"/>
        <w:adjustRightInd w:val="0"/>
        <w:rPr>
          <w:b/>
          <w:u w:val="single"/>
        </w:rPr>
      </w:pPr>
      <w:r w:rsidRPr="006C7A28">
        <w:rPr>
          <w:b/>
          <w:u w:val="single"/>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2188EF38" w14:textId="77777777" w:rsidR="006C7A28" w:rsidRDefault="006C7A28" w:rsidP="006C7A28">
      <w:pPr>
        <w:autoSpaceDE w:val="0"/>
        <w:autoSpaceDN w:val="0"/>
        <w:adjustRightInd w:val="0"/>
        <w:rPr>
          <w:b/>
          <w:u w:val="single"/>
        </w:rPr>
      </w:pPr>
    </w:p>
    <w:p w14:paraId="046BC28A" w14:textId="62744506" w:rsidR="006C4E50" w:rsidRDefault="006C4E50" w:rsidP="006C7A28">
      <w:pPr>
        <w:autoSpaceDE w:val="0"/>
        <w:autoSpaceDN w:val="0"/>
        <w:adjustRightInd w:val="0"/>
        <w:rPr>
          <w:rFonts w:cs="Arial"/>
          <w:sz w:val="28"/>
          <w:szCs w:val="28"/>
        </w:rPr>
      </w:pPr>
      <w:r w:rsidRPr="00F07EAD">
        <w:rPr>
          <w:rFonts w:cs="Arial"/>
          <w:b/>
          <w:sz w:val="28"/>
          <w:szCs w:val="28"/>
        </w:rPr>
        <w:t xml:space="preserve">Screening </w:t>
      </w:r>
      <w:r>
        <w:rPr>
          <w:rFonts w:cs="Arial"/>
          <w:b/>
          <w:sz w:val="28"/>
          <w:szCs w:val="28"/>
        </w:rPr>
        <w:t>q</w:t>
      </w:r>
      <w:r w:rsidRPr="00F07EAD">
        <w:rPr>
          <w:rFonts w:cs="Arial"/>
          <w:b/>
          <w:sz w:val="28"/>
          <w:szCs w:val="28"/>
        </w:rPr>
        <w:t>uestions</w:t>
      </w:r>
      <w:r>
        <w:rPr>
          <w:rFonts w:cs="Arial"/>
          <w:sz w:val="28"/>
          <w:szCs w:val="28"/>
        </w:rPr>
        <w:t xml:space="preserve"> </w:t>
      </w:r>
    </w:p>
    <w:p w14:paraId="3512EDF8" w14:textId="77777777" w:rsidR="006C4E50" w:rsidRPr="00E91D60" w:rsidRDefault="006C4E50" w:rsidP="006C4E50">
      <w:pPr>
        <w:autoSpaceDE w:val="0"/>
        <w:autoSpaceDN w:val="0"/>
        <w:adjustRightInd w:val="0"/>
        <w:rPr>
          <w:rFonts w:cs="Arial"/>
          <w:sz w:val="16"/>
          <w:szCs w:val="16"/>
        </w:rPr>
      </w:pPr>
    </w:p>
    <w:tbl>
      <w:tblPr>
        <w:tblW w:w="101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1788"/>
        <w:gridCol w:w="4860"/>
        <w:gridCol w:w="3540"/>
      </w:tblGrid>
      <w:tr w:rsidR="006C4E50" w:rsidRPr="00837F64" w14:paraId="5C8C7D92" w14:textId="77777777" w:rsidTr="00837F64">
        <w:tc>
          <w:tcPr>
            <w:tcW w:w="10188" w:type="dxa"/>
            <w:gridSpan w:val="3"/>
            <w:tcBorders>
              <w:top w:val="single" w:sz="4" w:space="0" w:color="auto"/>
              <w:left w:val="single" w:sz="4" w:space="0" w:color="auto"/>
              <w:bottom w:val="single" w:sz="4" w:space="0" w:color="auto"/>
              <w:right w:val="single" w:sz="4" w:space="0" w:color="auto"/>
            </w:tcBorders>
            <w:shd w:val="clear" w:color="auto" w:fill="C0C0C0"/>
          </w:tcPr>
          <w:p w14:paraId="324001A9" w14:textId="77777777" w:rsidR="006C4E50" w:rsidRPr="00837F64" w:rsidRDefault="006C4E50" w:rsidP="00837F64">
            <w:pPr>
              <w:autoSpaceDE w:val="0"/>
              <w:autoSpaceDN w:val="0"/>
              <w:adjustRightInd w:val="0"/>
              <w:spacing w:before="120" w:after="120"/>
              <w:ind w:left="357" w:hanging="357"/>
              <w:rPr>
                <w:rFonts w:cs="Arial"/>
                <w:sz w:val="28"/>
                <w:szCs w:val="28"/>
              </w:rPr>
            </w:pPr>
            <w:r w:rsidRPr="00837F64">
              <w:rPr>
                <w:rFonts w:cs="Arial"/>
                <w:b/>
                <w:sz w:val="28"/>
                <w:szCs w:val="28"/>
              </w:rPr>
              <w:t>1</w:t>
            </w:r>
            <w:r w:rsidRPr="00837F64">
              <w:rPr>
                <w:rFonts w:cs="Arial"/>
                <w:sz w:val="28"/>
                <w:szCs w:val="28"/>
              </w:rPr>
              <w:t xml:space="preserve">  </w:t>
            </w:r>
            <w:r w:rsidRPr="00837F64">
              <w:rPr>
                <w:rFonts w:cs="Arial"/>
                <w:sz w:val="28"/>
                <w:szCs w:val="28"/>
              </w:rPr>
              <w:tab/>
              <w:t xml:space="preserve">What is the likely impact on equality of opportunity for those affected by this policy, for each of the </w:t>
            </w:r>
            <w:smartTag w:uri="urn:schemas-microsoft-com:office:smarttags" w:element="PersonName">
              <w:r w:rsidRPr="00837F64">
                <w:rPr>
                  <w:rFonts w:cs="Arial"/>
                  <w:sz w:val="28"/>
                  <w:szCs w:val="28"/>
                </w:rPr>
                <w:t>Section 75</w:t>
              </w:r>
            </w:smartTag>
            <w:r w:rsidRPr="00837F64">
              <w:rPr>
                <w:rFonts w:cs="Arial"/>
                <w:sz w:val="28"/>
                <w:szCs w:val="28"/>
              </w:rPr>
              <w:t xml:space="preserve"> equality categories? minor/major/none</w:t>
            </w:r>
          </w:p>
        </w:tc>
      </w:tr>
      <w:tr w:rsidR="006C4E50" w:rsidRPr="00837F64" w14:paraId="60012052" w14:textId="77777777" w:rsidTr="00837F64">
        <w:trPr>
          <w:trHeight w:val="1141"/>
        </w:trPr>
        <w:tc>
          <w:tcPr>
            <w:tcW w:w="1788" w:type="dxa"/>
            <w:tcBorders>
              <w:top w:val="single" w:sz="4" w:space="0" w:color="auto"/>
              <w:left w:val="single" w:sz="4" w:space="0" w:color="auto"/>
              <w:bottom w:val="single" w:sz="4" w:space="0" w:color="auto"/>
              <w:right w:val="single" w:sz="4" w:space="0" w:color="auto"/>
            </w:tcBorders>
            <w:shd w:val="clear" w:color="auto" w:fill="E6E6E6"/>
          </w:tcPr>
          <w:p w14:paraId="14BA2754" w14:textId="77777777" w:rsidR="006C4E50" w:rsidRPr="00837F64" w:rsidRDefault="006C4E50" w:rsidP="00837F64">
            <w:pPr>
              <w:autoSpaceDE w:val="0"/>
              <w:autoSpaceDN w:val="0"/>
              <w:adjustRightInd w:val="0"/>
              <w:spacing w:before="300" w:after="300"/>
              <w:rPr>
                <w:rFonts w:cs="Arial"/>
                <w:sz w:val="28"/>
                <w:szCs w:val="28"/>
              </w:rPr>
            </w:pPr>
            <w:smartTag w:uri="urn:schemas-microsoft-com:office:smarttags" w:element="PersonName">
              <w:r w:rsidRPr="00837F64">
                <w:rPr>
                  <w:rFonts w:cs="Arial"/>
                  <w:sz w:val="28"/>
                  <w:szCs w:val="28"/>
                </w:rPr>
                <w:lastRenderedPageBreak/>
                <w:t>Section 75</w:t>
              </w:r>
            </w:smartTag>
            <w:r w:rsidRPr="00837F64">
              <w:rPr>
                <w:rFonts w:cs="Arial"/>
                <w:sz w:val="28"/>
                <w:szCs w:val="28"/>
              </w:rPr>
              <w:t xml:space="preserve"> category </w:t>
            </w:r>
          </w:p>
        </w:tc>
        <w:tc>
          <w:tcPr>
            <w:tcW w:w="4860" w:type="dxa"/>
            <w:tcBorders>
              <w:top w:val="single" w:sz="4" w:space="0" w:color="auto"/>
              <w:left w:val="single" w:sz="4" w:space="0" w:color="auto"/>
              <w:bottom w:val="single" w:sz="4" w:space="0" w:color="auto"/>
              <w:right w:val="single" w:sz="4" w:space="0" w:color="auto"/>
            </w:tcBorders>
            <w:shd w:val="clear" w:color="auto" w:fill="E6E6E6"/>
          </w:tcPr>
          <w:p w14:paraId="44837A76" w14:textId="77777777" w:rsidR="006C4E50" w:rsidRPr="00837F64" w:rsidRDefault="006C4E50" w:rsidP="00837F64">
            <w:pPr>
              <w:autoSpaceDE w:val="0"/>
              <w:autoSpaceDN w:val="0"/>
              <w:adjustRightInd w:val="0"/>
              <w:spacing w:before="300" w:after="300"/>
              <w:rPr>
                <w:rFonts w:cs="Arial"/>
                <w:sz w:val="28"/>
                <w:szCs w:val="28"/>
              </w:rPr>
            </w:pPr>
            <w:r w:rsidRPr="00837F64">
              <w:rPr>
                <w:rFonts w:cs="Arial"/>
                <w:sz w:val="28"/>
                <w:szCs w:val="28"/>
              </w:rPr>
              <w:t xml:space="preserve">Details of policy impact </w:t>
            </w:r>
          </w:p>
        </w:tc>
        <w:tc>
          <w:tcPr>
            <w:tcW w:w="3540" w:type="dxa"/>
            <w:tcBorders>
              <w:top w:val="single" w:sz="4" w:space="0" w:color="auto"/>
              <w:left w:val="single" w:sz="4" w:space="0" w:color="auto"/>
              <w:bottom w:val="single" w:sz="4" w:space="0" w:color="auto"/>
              <w:right w:val="single" w:sz="4" w:space="0" w:color="auto"/>
            </w:tcBorders>
            <w:shd w:val="clear" w:color="auto" w:fill="E6E6E6"/>
          </w:tcPr>
          <w:p w14:paraId="02FDDC82" w14:textId="77777777" w:rsidR="006C4E50" w:rsidRPr="00837F64" w:rsidRDefault="006C4E50" w:rsidP="00837F64">
            <w:pPr>
              <w:autoSpaceDE w:val="0"/>
              <w:autoSpaceDN w:val="0"/>
              <w:adjustRightInd w:val="0"/>
              <w:spacing w:before="300" w:after="300"/>
              <w:ind w:right="-288"/>
              <w:rPr>
                <w:rFonts w:cs="Arial"/>
                <w:sz w:val="28"/>
                <w:szCs w:val="28"/>
              </w:rPr>
            </w:pPr>
            <w:r w:rsidRPr="00837F64">
              <w:rPr>
                <w:rFonts w:cs="Arial"/>
                <w:sz w:val="28"/>
                <w:szCs w:val="28"/>
              </w:rPr>
              <w:t>Level of impact?    minor/major/none</w:t>
            </w:r>
          </w:p>
        </w:tc>
      </w:tr>
      <w:tr w:rsidR="006C4E50" w:rsidRPr="00837F64" w14:paraId="33099CC3" w14:textId="77777777" w:rsidTr="00837F64">
        <w:tc>
          <w:tcPr>
            <w:tcW w:w="1788" w:type="dxa"/>
            <w:tcBorders>
              <w:top w:val="single" w:sz="4" w:space="0" w:color="auto"/>
              <w:left w:val="single" w:sz="4" w:space="0" w:color="auto"/>
              <w:bottom w:val="single" w:sz="4" w:space="0" w:color="auto"/>
              <w:right w:val="single" w:sz="4" w:space="0" w:color="auto"/>
            </w:tcBorders>
            <w:shd w:val="clear" w:color="auto" w:fill="E6E6E6"/>
          </w:tcPr>
          <w:p w14:paraId="2641D35E" w14:textId="77777777" w:rsidR="006C4E50" w:rsidRPr="00837F64" w:rsidRDefault="006C4E50" w:rsidP="00837F64">
            <w:pPr>
              <w:autoSpaceDE w:val="0"/>
              <w:autoSpaceDN w:val="0"/>
              <w:adjustRightInd w:val="0"/>
              <w:spacing w:before="300" w:after="300"/>
              <w:rPr>
                <w:rFonts w:cs="Arial"/>
                <w:sz w:val="28"/>
                <w:szCs w:val="28"/>
              </w:rPr>
            </w:pPr>
            <w:r w:rsidRPr="00837F64">
              <w:rPr>
                <w:rFonts w:cs="Arial"/>
                <w:sz w:val="28"/>
                <w:szCs w:val="28"/>
              </w:rPr>
              <w:t>Religious belief</w:t>
            </w:r>
          </w:p>
        </w:tc>
        <w:tc>
          <w:tcPr>
            <w:tcW w:w="4860" w:type="dxa"/>
            <w:tcBorders>
              <w:top w:val="single" w:sz="4" w:space="0" w:color="auto"/>
              <w:left w:val="single" w:sz="4" w:space="0" w:color="auto"/>
              <w:bottom w:val="single" w:sz="4" w:space="0" w:color="auto"/>
              <w:right w:val="single" w:sz="4" w:space="0" w:color="auto"/>
            </w:tcBorders>
          </w:tcPr>
          <w:p w14:paraId="2D3D2FD2" w14:textId="77777777" w:rsidR="00437057" w:rsidRDefault="003F05F9" w:rsidP="00837F64">
            <w:pPr>
              <w:autoSpaceDE w:val="0"/>
              <w:autoSpaceDN w:val="0"/>
              <w:adjustRightInd w:val="0"/>
              <w:spacing w:before="300" w:after="300"/>
              <w:rPr>
                <w:rFonts w:cs="Arial"/>
                <w:sz w:val="28"/>
                <w:szCs w:val="28"/>
              </w:rPr>
            </w:pPr>
            <w:r>
              <w:rPr>
                <w:rFonts w:cs="Arial"/>
                <w:sz w:val="28"/>
                <w:szCs w:val="28"/>
              </w:rPr>
              <w:t xml:space="preserve">The proposed budgetary ‘under allocation’ for </w:t>
            </w:r>
            <w:r w:rsidR="007D3015">
              <w:rPr>
                <w:rFonts w:cs="Arial"/>
                <w:sz w:val="28"/>
                <w:szCs w:val="28"/>
              </w:rPr>
              <w:t>2025/26</w:t>
            </w:r>
            <w:r>
              <w:rPr>
                <w:rFonts w:cs="Arial"/>
                <w:sz w:val="28"/>
                <w:szCs w:val="28"/>
              </w:rPr>
              <w:t xml:space="preserve"> will </w:t>
            </w:r>
            <w:r w:rsidR="00081E69">
              <w:rPr>
                <w:rFonts w:cs="Arial"/>
                <w:sz w:val="28"/>
                <w:szCs w:val="28"/>
              </w:rPr>
              <w:t xml:space="preserve">have </w:t>
            </w:r>
            <w:r>
              <w:rPr>
                <w:rFonts w:cs="Arial"/>
                <w:sz w:val="28"/>
                <w:szCs w:val="28"/>
              </w:rPr>
              <w:t xml:space="preserve">a significant impact on a wide range of Invest NI </w:t>
            </w:r>
            <w:commentRangeStart w:id="1"/>
            <w:commentRangeStart w:id="2"/>
            <w:r>
              <w:rPr>
                <w:rFonts w:cs="Arial"/>
                <w:sz w:val="28"/>
                <w:szCs w:val="28"/>
              </w:rPr>
              <w:t>activities</w:t>
            </w:r>
            <w:r w:rsidR="00107DC4">
              <w:rPr>
                <w:rFonts w:cs="Arial"/>
                <w:sz w:val="28"/>
                <w:szCs w:val="28"/>
              </w:rPr>
              <w:t xml:space="preserve">, </w:t>
            </w:r>
            <w:r w:rsidR="00081E69">
              <w:rPr>
                <w:rFonts w:cs="Arial"/>
                <w:sz w:val="28"/>
                <w:szCs w:val="28"/>
              </w:rPr>
              <w:t>and including regional programmes of work</w:t>
            </w:r>
            <w:commentRangeEnd w:id="1"/>
            <w:r w:rsidR="00752FBB">
              <w:rPr>
                <w:rStyle w:val="CommentReference"/>
                <w:rFonts w:asciiTheme="minorHAnsi" w:eastAsiaTheme="minorHAnsi" w:hAnsiTheme="minorHAnsi" w:cstheme="minorBidi"/>
              </w:rPr>
              <w:commentReference w:id="1"/>
            </w:r>
            <w:commentRangeEnd w:id="2"/>
            <w:r w:rsidR="00B91804">
              <w:rPr>
                <w:rStyle w:val="CommentReference"/>
                <w:rFonts w:asciiTheme="minorHAnsi" w:eastAsiaTheme="minorHAnsi" w:hAnsiTheme="minorHAnsi" w:cstheme="minorBidi"/>
              </w:rPr>
              <w:commentReference w:id="2"/>
            </w:r>
            <w:r w:rsidR="00D13124">
              <w:rPr>
                <w:rFonts w:cs="Arial"/>
                <w:sz w:val="28"/>
                <w:szCs w:val="28"/>
              </w:rPr>
              <w:t>.</w:t>
            </w:r>
          </w:p>
          <w:p w14:paraId="46568501" w14:textId="3ADB2B70" w:rsidR="006C4E50" w:rsidRPr="00837F64" w:rsidRDefault="00437057" w:rsidP="00837F64">
            <w:pPr>
              <w:autoSpaceDE w:val="0"/>
              <w:autoSpaceDN w:val="0"/>
              <w:adjustRightInd w:val="0"/>
              <w:spacing w:before="300" w:after="300"/>
              <w:rPr>
                <w:rFonts w:cs="Arial"/>
                <w:sz w:val="28"/>
                <w:szCs w:val="28"/>
              </w:rPr>
            </w:pPr>
            <w:r>
              <w:rPr>
                <w:rFonts w:cs="Arial"/>
                <w:sz w:val="28"/>
                <w:szCs w:val="28"/>
              </w:rPr>
              <w:t>I</w:t>
            </w:r>
            <w:r w:rsidR="00193C9F">
              <w:rPr>
                <w:rFonts w:cs="Arial"/>
                <w:sz w:val="28"/>
                <w:szCs w:val="28"/>
              </w:rPr>
              <w:t xml:space="preserve">nvest NI’s </w:t>
            </w:r>
            <w:r w:rsidR="00FA0C80">
              <w:rPr>
                <w:rFonts w:cs="Arial"/>
                <w:sz w:val="28"/>
                <w:szCs w:val="28"/>
              </w:rPr>
              <w:t>strong</w:t>
            </w:r>
            <w:r w:rsidR="00D27742">
              <w:rPr>
                <w:rFonts w:cs="Arial"/>
                <w:sz w:val="28"/>
                <w:szCs w:val="28"/>
              </w:rPr>
              <w:t xml:space="preserve"> regional presence </w:t>
            </w:r>
            <w:r w:rsidR="00193C9F">
              <w:rPr>
                <w:rFonts w:cs="Arial"/>
                <w:sz w:val="28"/>
                <w:szCs w:val="28"/>
              </w:rPr>
              <w:t>is</w:t>
            </w:r>
            <w:r w:rsidR="00741C40">
              <w:rPr>
                <w:rFonts w:cs="Arial"/>
                <w:sz w:val="28"/>
                <w:szCs w:val="28"/>
              </w:rPr>
              <w:t xml:space="preserve"> designed to ensure that economic enhancement is not confined to traditional </w:t>
            </w:r>
            <w:r w:rsidR="001A6508">
              <w:rPr>
                <w:rFonts w:cs="Arial"/>
                <w:sz w:val="28"/>
                <w:szCs w:val="28"/>
              </w:rPr>
              <w:t>areas of high business activity</w:t>
            </w:r>
            <w:r w:rsidR="00C23F0E">
              <w:rPr>
                <w:rFonts w:cs="Arial"/>
                <w:sz w:val="28"/>
                <w:szCs w:val="28"/>
              </w:rPr>
              <w:t xml:space="preserve"> </w:t>
            </w:r>
            <w:r w:rsidR="001A6508">
              <w:rPr>
                <w:rFonts w:cs="Arial"/>
                <w:sz w:val="28"/>
                <w:szCs w:val="28"/>
              </w:rPr>
              <w:t xml:space="preserve">(e.g. Greater Belfast) but is spread more evenly across </w:t>
            </w:r>
            <w:r w:rsidR="00FA0C80">
              <w:rPr>
                <w:rFonts w:cs="Arial"/>
                <w:sz w:val="28"/>
                <w:szCs w:val="28"/>
              </w:rPr>
              <w:t>Northern Ireland</w:t>
            </w:r>
            <w:r w:rsidR="00193C9F">
              <w:rPr>
                <w:rFonts w:cs="Arial"/>
                <w:sz w:val="28"/>
                <w:szCs w:val="28"/>
              </w:rPr>
              <w:t>,</w:t>
            </w:r>
            <w:r w:rsidR="00FA0C80">
              <w:rPr>
                <w:rFonts w:cs="Arial"/>
                <w:sz w:val="28"/>
                <w:szCs w:val="28"/>
              </w:rPr>
              <w:t xml:space="preserve"> thereby addressing his</w:t>
            </w:r>
            <w:r w:rsidR="00857925">
              <w:rPr>
                <w:rFonts w:cs="Arial"/>
                <w:sz w:val="28"/>
                <w:szCs w:val="28"/>
              </w:rPr>
              <w:t xml:space="preserve">torical inequalities that can coincide with different community </w:t>
            </w:r>
            <w:r w:rsidR="001B2A9C">
              <w:rPr>
                <w:rFonts w:cs="Arial"/>
                <w:sz w:val="28"/>
                <w:szCs w:val="28"/>
              </w:rPr>
              <w:t>profile</w:t>
            </w:r>
            <w:r w:rsidR="00857925">
              <w:rPr>
                <w:rFonts w:cs="Arial"/>
                <w:sz w:val="28"/>
                <w:szCs w:val="28"/>
              </w:rPr>
              <w:t>s</w:t>
            </w:r>
            <w:r w:rsidR="00193C9F">
              <w:rPr>
                <w:rFonts w:cs="Arial"/>
                <w:sz w:val="28"/>
                <w:szCs w:val="28"/>
              </w:rPr>
              <w:t>, which in Northern Ireland, tends to correlate with religious belief</w:t>
            </w:r>
            <w:r w:rsidR="00857925">
              <w:rPr>
                <w:rFonts w:cs="Arial"/>
                <w:sz w:val="28"/>
                <w:szCs w:val="28"/>
              </w:rPr>
              <w:t>.</w:t>
            </w:r>
            <w:r w:rsidR="001B2A9C">
              <w:rPr>
                <w:rFonts w:cs="Arial"/>
                <w:sz w:val="28"/>
                <w:szCs w:val="28"/>
              </w:rPr>
              <w:t xml:space="preserve"> Social research has consistently shown that</w:t>
            </w:r>
            <w:r w:rsidR="00237420">
              <w:rPr>
                <w:rFonts w:cs="Arial"/>
                <w:sz w:val="28"/>
                <w:szCs w:val="28"/>
              </w:rPr>
              <w:t xml:space="preserve"> </w:t>
            </w:r>
            <w:r w:rsidR="00E1578E" w:rsidRPr="00E1578E">
              <w:rPr>
                <w:rFonts w:cs="Arial"/>
                <w:sz w:val="28"/>
                <w:szCs w:val="28"/>
              </w:rPr>
              <w:t>enhanced economic activity can have an impact in reducing levels of community tension and conflict.</w:t>
            </w:r>
          </w:p>
        </w:tc>
        <w:tc>
          <w:tcPr>
            <w:tcW w:w="3540" w:type="dxa"/>
            <w:tcBorders>
              <w:top w:val="single" w:sz="4" w:space="0" w:color="auto"/>
              <w:left w:val="single" w:sz="4" w:space="0" w:color="auto"/>
              <w:bottom w:val="single" w:sz="4" w:space="0" w:color="auto"/>
              <w:right w:val="single" w:sz="4" w:space="0" w:color="auto"/>
            </w:tcBorders>
          </w:tcPr>
          <w:p w14:paraId="003958A0" w14:textId="797FA393" w:rsidR="006C4E50" w:rsidRPr="00837F64" w:rsidRDefault="00107DC4" w:rsidP="00837F64">
            <w:pPr>
              <w:autoSpaceDE w:val="0"/>
              <w:autoSpaceDN w:val="0"/>
              <w:adjustRightInd w:val="0"/>
              <w:spacing w:before="300" w:after="300"/>
              <w:rPr>
                <w:rFonts w:cs="Arial"/>
                <w:sz w:val="28"/>
                <w:szCs w:val="28"/>
              </w:rPr>
            </w:pPr>
            <w:r>
              <w:rPr>
                <w:rFonts w:cs="Arial"/>
                <w:sz w:val="28"/>
                <w:szCs w:val="28"/>
              </w:rPr>
              <w:t>M</w:t>
            </w:r>
            <w:r w:rsidR="0098000B">
              <w:rPr>
                <w:rFonts w:cs="Arial"/>
                <w:sz w:val="28"/>
                <w:szCs w:val="28"/>
              </w:rPr>
              <w:t>aj</w:t>
            </w:r>
            <w:r>
              <w:rPr>
                <w:rFonts w:cs="Arial"/>
                <w:sz w:val="28"/>
                <w:szCs w:val="28"/>
              </w:rPr>
              <w:t xml:space="preserve">or </w:t>
            </w:r>
            <w:r w:rsidR="00495F9F">
              <w:rPr>
                <w:rFonts w:cs="Arial"/>
                <w:sz w:val="28"/>
                <w:szCs w:val="28"/>
              </w:rPr>
              <w:t>(-</w:t>
            </w:r>
            <w:proofErr w:type="spellStart"/>
            <w:r w:rsidR="00495F9F">
              <w:rPr>
                <w:rFonts w:cs="Arial"/>
                <w:sz w:val="28"/>
                <w:szCs w:val="28"/>
              </w:rPr>
              <w:t>ve</w:t>
            </w:r>
            <w:proofErr w:type="spellEnd"/>
            <w:r w:rsidR="00495F9F">
              <w:rPr>
                <w:rFonts w:cs="Arial"/>
                <w:sz w:val="28"/>
                <w:szCs w:val="28"/>
              </w:rPr>
              <w:t>)</w:t>
            </w:r>
          </w:p>
        </w:tc>
      </w:tr>
      <w:tr w:rsidR="00107DC4" w:rsidRPr="00837F64" w14:paraId="43C19CE4" w14:textId="77777777" w:rsidTr="00837F64">
        <w:tc>
          <w:tcPr>
            <w:tcW w:w="1788" w:type="dxa"/>
            <w:tcBorders>
              <w:top w:val="single" w:sz="4" w:space="0" w:color="auto"/>
              <w:left w:val="single" w:sz="4" w:space="0" w:color="auto"/>
              <w:bottom w:val="single" w:sz="4" w:space="0" w:color="auto"/>
              <w:right w:val="single" w:sz="4" w:space="0" w:color="auto"/>
            </w:tcBorders>
            <w:shd w:val="clear" w:color="auto" w:fill="E6E6E6"/>
          </w:tcPr>
          <w:p w14:paraId="12CFA5E2" w14:textId="77777777" w:rsidR="00107DC4" w:rsidRPr="00837F64" w:rsidRDefault="00107DC4" w:rsidP="00107DC4">
            <w:pPr>
              <w:autoSpaceDE w:val="0"/>
              <w:autoSpaceDN w:val="0"/>
              <w:adjustRightInd w:val="0"/>
              <w:spacing w:before="300" w:after="300"/>
              <w:rPr>
                <w:rFonts w:cs="Arial"/>
                <w:sz w:val="28"/>
                <w:szCs w:val="28"/>
              </w:rPr>
            </w:pPr>
            <w:r w:rsidRPr="00837F64">
              <w:rPr>
                <w:rFonts w:cs="Arial"/>
                <w:sz w:val="28"/>
                <w:szCs w:val="28"/>
              </w:rPr>
              <w:t xml:space="preserve">Political opinion </w:t>
            </w:r>
          </w:p>
        </w:tc>
        <w:tc>
          <w:tcPr>
            <w:tcW w:w="4860" w:type="dxa"/>
            <w:tcBorders>
              <w:top w:val="single" w:sz="4" w:space="0" w:color="auto"/>
              <w:left w:val="single" w:sz="4" w:space="0" w:color="auto"/>
              <w:bottom w:val="single" w:sz="4" w:space="0" w:color="auto"/>
              <w:right w:val="single" w:sz="4" w:space="0" w:color="auto"/>
            </w:tcBorders>
          </w:tcPr>
          <w:p w14:paraId="431B8413" w14:textId="332C7BCD" w:rsidR="00107DC4" w:rsidRPr="00837F64" w:rsidRDefault="003F05F9" w:rsidP="00107DC4">
            <w:pPr>
              <w:autoSpaceDE w:val="0"/>
              <w:autoSpaceDN w:val="0"/>
              <w:adjustRightInd w:val="0"/>
              <w:spacing w:before="300" w:after="300"/>
              <w:rPr>
                <w:rFonts w:cs="Arial"/>
                <w:sz w:val="28"/>
                <w:szCs w:val="28"/>
              </w:rPr>
            </w:pPr>
            <w:r w:rsidRPr="003F05F9">
              <w:rPr>
                <w:rFonts w:cs="Arial"/>
                <w:sz w:val="28"/>
                <w:szCs w:val="28"/>
              </w:rPr>
              <w:t xml:space="preserve">The proposed budgetary ‘under allocation’ for </w:t>
            </w:r>
            <w:r w:rsidR="007D3015">
              <w:rPr>
                <w:rFonts w:cs="Arial"/>
                <w:sz w:val="28"/>
                <w:szCs w:val="28"/>
              </w:rPr>
              <w:t>2025/26</w:t>
            </w:r>
            <w:r w:rsidRPr="003F05F9">
              <w:rPr>
                <w:rFonts w:cs="Arial"/>
                <w:sz w:val="28"/>
                <w:szCs w:val="28"/>
              </w:rPr>
              <w:t xml:space="preserve"> will have a significant impact on a wide range of Invest NI </w:t>
            </w:r>
            <w:commentRangeStart w:id="3"/>
            <w:r w:rsidRPr="003F05F9">
              <w:rPr>
                <w:rFonts w:cs="Arial"/>
                <w:sz w:val="28"/>
                <w:szCs w:val="28"/>
              </w:rPr>
              <w:t>activities, including regional programmes of work</w:t>
            </w:r>
            <w:commentRangeEnd w:id="3"/>
            <w:r w:rsidR="00752FBB">
              <w:rPr>
                <w:rStyle w:val="CommentReference"/>
                <w:rFonts w:asciiTheme="minorHAnsi" w:eastAsiaTheme="minorHAnsi" w:hAnsiTheme="minorHAnsi" w:cstheme="minorBidi"/>
              </w:rPr>
              <w:commentReference w:id="3"/>
            </w:r>
            <w:r w:rsidRPr="003F05F9">
              <w:rPr>
                <w:rFonts w:cs="Arial"/>
                <w:sz w:val="28"/>
                <w:szCs w:val="28"/>
              </w:rPr>
              <w:t>.</w:t>
            </w:r>
            <w:r w:rsidR="001B2A9C">
              <w:rPr>
                <w:rFonts w:cs="Arial"/>
                <w:sz w:val="28"/>
                <w:szCs w:val="28"/>
              </w:rPr>
              <w:t xml:space="preserve"> </w:t>
            </w:r>
            <w:r w:rsidR="001B2A9C" w:rsidRPr="001B2A9C">
              <w:rPr>
                <w:rFonts w:cs="Arial"/>
                <w:sz w:val="28"/>
                <w:szCs w:val="28"/>
              </w:rPr>
              <w:t xml:space="preserve">The strong regional presence of Invest NI through its centres is designed to ensure that economic enhancement is not confined to traditional areas of high business activity (e.g. Greater Belfast) but is spread more evenly across Northern Ireland thereby addressing historical inequalities that </w:t>
            </w:r>
            <w:r w:rsidR="001B2A9C" w:rsidRPr="001B2A9C">
              <w:rPr>
                <w:rFonts w:cs="Arial"/>
                <w:sz w:val="28"/>
                <w:szCs w:val="28"/>
              </w:rPr>
              <w:lastRenderedPageBreak/>
              <w:t>can coincide with different community profiles</w:t>
            </w:r>
            <w:r w:rsidR="00193C9F">
              <w:rPr>
                <w:rFonts w:cs="Arial"/>
                <w:sz w:val="28"/>
                <w:szCs w:val="28"/>
              </w:rPr>
              <w:t>, which in Northern Ireland tend to correlate with political belief</w:t>
            </w:r>
            <w:r w:rsidR="001B2A9C" w:rsidRPr="001B2A9C">
              <w:rPr>
                <w:rFonts w:cs="Arial"/>
                <w:sz w:val="28"/>
                <w:szCs w:val="28"/>
              </w:rPr>
              <w:t>.</w:t>
            </w:r>
            <w:r w:rsidR="006E6F41">
              <w:rPr>
                <w:rFonts w:cs="Arial"/>
                <w:sz w:val="28"/>
                <w:szCs w:val="28"/>
              </w:rPr>
              <w:t xml:space="preserve"> </w:t>
            </w:r>
            <w:r w:rsidR="006E6F41" w:rsidRPr="006E6F41">
              <w:rPr>
                <w:rFonts w:cs="Arial"/>
                <w:sz w:val="28"/>
                <w:szCs w:val="28"/>
              </w:rPr>
              <w:t xml:space="preserve">Social research has consistently shown that </w:t>
            </w:r>
            <w:r w:rsidR="00E1578E">
              <w:rPr>
                <w:rFonts w:cs="Arial"/>
                <w:sz w:val="28"/>
                <w:szCs w:val="28"/>
              </w:rPr>
              <w:t xml:space="preserve">enhanced </w:t>
            </w:r>
            <w:r w:rsidR="006E6F41" w:rsidRPr="006E6F41">
              <w:rPr>
                <w:rFonts w:cs="Arial"/>
                <w:sz w:val="28"/>
                <w:szCs w:val="28"/>
              </w:rPr>
              <w:t>economic activity can have a</w:t>
            </w:r>
            <w:r w:rsidR="00E1578E">
              <w:rPr>
                <w:rFonts w:cs="Arial"/>
                <w:sz w:val="28"/>
                <w:szCs w:val="28"/>
              </w:rPr>
              <w:t xml:space="preserve">n </w:t>
            </w:r>
            <w:r w:rsidR="006E6F41" w:rsidRPr="006E6F41">
              <w:rPr>
                <w:rFonts w:cs="Arial"/>
                <w:sz w:val="28"/>
                <w:szCs w:val="28"/>
              </w:rPr>
              <w:t xml:space="preserve">impact </w:t>
            </w:r>
            <w:r w:rsidR="00E1578E">
              <w:rPr>
                <w:rFonts w:cs="Arial"/>
                <w:sz w:val="28"/>
                <w:szCs w:val="28"/>
              </w:rPr>
              <w:t>in reducing</w:t>
            </w:r>
            <w:r w:rsidR="006E6F41" w:rsidRPr="006E6F41">
              <w:rPr>
                <w:rFonts w:cs="Arial"/>
                <w:sz w:val="28"/>
                <w:szCs w:val="28"/>
              </w:rPr>
              <w:t xml:space="preserve"> levels of community tension and conflict.</w:t>
            </w:r>
          </w:p>
        </w:tc>
        <w:tc>
          <w:tcPr>
            <w:tcW w:w="3540" w:type="dxa"/>
            <w:tcBorders>
              <w:top w:val="single" w:sz="4" w:space="0" w:color="auto"/>
              <w:left w:val="single" w:sz="4" w:space="0" w:color="auto"/>
              <w:bottom w:val="single" w:sz="4" w:space="0" w:color="auto"/>
              <w:right w:val="single" w:sz="4" w:space="0" w:color="auto"/>
            </w:tcBorders>
          </w:tcPr>
          <w:p w14:paraId="11A6B6DB" w14:textId="187AF8F5" w:rsidR="00107DC4" w:rsidRPr="00837F64" w:rsidRDefault="00107DC4" w:rsidP="00107DC4">
            <w:pPr>
              <w:autoSpaceDE w:val="0"/>
              <w:autoSpaceDN w:val="0"/>
              <w:adjustRightInd w:val="0"/>
              <w:spacing w:before="300" w:after="300"/>
              <w:rPr>
                <w:rFonts w:cs="Arial"/>
                <w:sz w:val="28"/>
                <w:szCs w:val="28"/>
              </w:rPr>
            </w:pPr>
            <w:r>
              <w:rPr>
                <w:rFonts w:cs="Arial"/>
                <w:sz w:val="28"/>
                <w:szCs w:val="28"/>
              </w:rPr>
              <w:lastRenderedPageBreak/>
              <w:t>M</w:t>
            </w:r>
            <w:r w:rsidR="00CE752D">
              <w:rPr>
                <w:rFonts w:cs="Arial"/>
                <w:sz w:val="28"/>
                <w:szCs w:val="28"/>
              </w:rPr>
              <w:t>aj</w:t>
            </w:r>
            <w:r>
              <w:rPr>
                <w:rFonts w:cs="Arial"/>
                <w:sz w:val="28"/>
                <w:szCs w:val="28"/>
              </w:rPr>
              <w:t>or (-</w:t>
            </w:r>
            <w:proofErr w:type="spellStart"/>
            <w:r>
              <w:rPr>
                <w:rFonts w:cs="Arial"/>
                <w:sz w:val="28"/>
                <w:szCs w:val="28"/>
              </w:rPr>
              <w:t>ve</w:t>
            </w:r>
            <w:proofErr w:type="spellEnd"/>
            <w:r>
              <w:rPr>
                <w:rFonts w:cs="Arial"/>
                <w:sz w:val="28"/>
                <w:szCs w:val="28"/>
              </w:rPr>
              <w:t>)</w:t>
            </w:r>
          </w:p>
        </w:tc>
      </w:tr>
      <w:tr w:rsidR="00107DC4" w:rsidRPr="00837F64" w14:paraId="7820EBBB" w14:textId="77777777" w:rsidTr="00837F64">
        <w:tc>
          <w:tcPr>
            <w:tcW w:w="1788" w:type="dxa"/>
            <w:tcBorders>
              <w:top w:val="single" w:sz="4" w:space="0" w:color="auto"/>
              <w:left w:val="single" w:sz="4" w:space="0" w:color="auto"/>
              <w:bottom w:val="single" w:sz="4" w:space="0" w:color="auto"/>
              <w:right w:val="single" w:sz="4" w:space="0" w:color="auto"/>
            </w:tcBorders>
            <w:shd w:val="clear" w:color="auto" w:fill="E6E6E6"/>
          </w:tcPr>
          <w:p w14:paraId="75ACAC8B" w14:textId="77777777" w:rsidR="00107DC4" w:rsidRPr="00837F64" w:rsidRDefault="00107DC4" w:rsidP="00107DC4">
            <w:pPr>
              <w:autoSpaceDE w:val="0"/>
              <w:autoSpaceDN w:val="0"/>
              <w:adjustRightInd w:val="0"/>
              <w:spacing w:before="300" w:after="300"/>
              <w:rPr>
                <w:rFonts w:cs="Arial"/>
                <w:sz w:val="28"/>
                <w:szCs w:val="28"/>
              </w:rPr>
            </w:pPr>
            <w:r w:rsidRPr="00837F64">
              <w:rPr>
                <w:rFonts w:cs="Arial"/>
                <w:sz w:val="28"/>
                <w:szCs w:val="28"/>
              </w:rPr>
              <w:t xml:space="preserve">Racial group </w:t>
            </w:r>
          </w:p>
        </w:tc>
        <w:tc>
          <w:tcPr>
            <w:tcW w:w="4860" w:type="dxa"/>
            <w:tcBorders>
              <w:top w:val="single" w:sz="4" w:space="0" w:color="auto"/>
              <w:left w:val="single" w:sz="4" w:space="0" w:color="auto"/>
              <w:bottom w:val="single" w:sz="4" w:space="0" w:color="auto"/>
              <w:right w:val="single" w:sz="4" w:space="0" w:color="auto"/>
            </w:tcBorders>
          </w:tcPr>
          <w:p w14:paraId="7C6448E7" w14:textId="0822144F" w:rsidR="00107DC4" w:rsidRPr="00837F64" w:rsidRDefault="003F05F9" w:rsidP="00107DC4">
            <w:pPr>
              <w:autoSpaceDE w:val="0"/>
              <w:autoSpaceDN w:val="0"/>
              <w:adjustRightInd w:val="0"/>
              <w:spacing w:before="300" w:after="300"/>
              <w:rPr>
                <w:rFonts w:cs="Arial"/>
                <w:sz w:val="28"/>
                <w:szCs w:val="28"/>
              </w:rPr>
            </w:pPr>
            <w:r w:rsidRPr="003F05F9">
              <w:rPr>
                <w:rFonts w:cs="Arial"/>
                <w:sz w:val="28"/>
                <w:szCs w:val="28"/>
              </w:rPr>
              <w:t xml:space="preserve">The proposed budgetary ‘under allocation’ for </w:t>
            </w:r>
            <w:r w:rsidR="007D3015">
              <w:rPr>
                <w:rFonts w:cs="Arial"/>
                <w:sz w:val="28"/>
                <w:szCs w:val="28"/>
              </w:rPr>
              <w:t>2025/26</w:t>
            </w:r>
            <w:r w:rsidRPr="003F05F9">
              <w:rPr>
                <w:rFonts w:cs="Arial"/>
                <w:sz w:val="28"/>
                <w:szCs w:val="28"/>
              </w:rPr>
              <w:t xml:space="preserve"> </w:t>
            </w:r>
            <w:r w:rsidR="00107DC4">
              <w:rPr>
                <w:rFonts w:cs="Arial"/>
                <w:sz w:val="28"/>
                <w:szCs w:val="28"/>
              </w:rPr>
              <w:t xml:space="preserve">may </w:t>
            </w:r>
            <w:r w:rsidR="00081E69">
              <w:rPr>
                <w:rFonts w:cs="Arial"/>
                <w:sz w:val="28"/>
                <w:szCs w:val="28"/>
              </w:rPr>
              <w:t xml:space="preserve">have the effect of </w:t>
            </w:r>
            <w:r w:rsidR="00107DC4">
              <w:rPr>
                <w:rFonts w:cs="Arial"/>
                <w:sz w:val="28"/>
                <w:szCs w:val="28"/>
              </w:rPr>
              <w:t>curtail</w:t>
            </w:r>
            <w:r w:rsidR="00081E69">
              <w:rPr>
                <w:rFonts w:cs="Arial"/>
                <w:sz w:val="28"/>
                <w:szCs w:val="28"/>
              </w:rPr>
              <w:t>ing</w:t>
            </w:r>
            <w:r w:rsidR="00107DC4">
              <w:rPr>
                <w:rFonts w:cs="Arial"/>
                <w:sz w:val="28"/>
                <w:szCs w:val="28"/>
              </w:rPr>
              <w:t xml:space="preserve"> proposed positive </w:t>
            </w:r>
            <w:commentRangeStart w:id="4"/>
            <w:commentRangeStart w:id="5"/>
            <w:r w:rsidR="00107DC4">
              <w:rPr>
                <w:rFonts w:cs="Arial"/>
                <w:sz w:val="28"/>
                <w:szCs w:val="28"/>
              </w:rPr>
              <w:t xml:space="preserve">action measures, </w:t>
            </w:r>
            <w:r w:rsidR="00081E69">
              <w:rPr>
                <w:rFonts w:cs="Arial"/>
                <w:sz w:val="28"/>
                <w:szCs w:val="28"/>
              </w:rPr>
              <w:t>including those aimed at supporting members of new communities</w:t>
            </w:r>
            <w:r w:rsidR="00107DC4">
              <w:rPr>
                <w:rFonts w:cs="Arial"/>
                <w:sz w:val="28"/>
                <w:szCs w:val="28"/>
              </w:rPr>
              <w:t>.</w:t>
            </w:r>
            <w:commentRangeEnd w:id="4"/>
            <w:r w:rsidR="00752FBB">
              <w:rPr>
                <w:rStyle w:val="CommentReference"/>
                <w:rFonts w:asciiTheme="minorHAnsi" w:eastAsiaTheme="minorHAnsi" w:hAnsiTheme="minorHAnsi" w:cstheme="minorBidi"/>
              </w:rPr>
              <w:commentReference w:id="4"/>
            </w:r>
            <w:commentRangeEnd w:id="5"/>
            <w:r w:rsidR="00B91804">
              <w:rPr>
                <w:rStyle w:val="CommentReference"/>
                <w:rFonts w:asciiTheme="minorHAnsi" w:eastAsiaTheme="minorHAnsi" w:hAnsiTheme="minorHAnsi" w:cstheme="minorBidi"/>
              </w:rPr>
              <w:commentReference w:id="5"/>
            </w:r>
            <w:r w:rsidR="00C23F0E" w:rsidRPr="580A1CE9">
              <w:rPr>
                <w:szCs w:val="24"/>
              </w:rPr>
              <w:t xml:space="preserve"> </w:t>
            </w:r>
            <w:r w:rsidR="00C23F0E" w:rsidRPr="00C23F0E">
              <w:rPr>
                <w:sz w:val="28"/>
                <w:szCs w:val="28"/>
              </w:rPr>
              <w:t>As part of our developing Environmental, Social and Governance (ESG) framework</w:t>
            </w:r>
            <w:r w:rsidR="00C23F0E">
              <w:rPr>
                <w:sz w:val="28"/>
                <w:szCs w:val="28"/>
              </w:rPr>
              <w:t xml:space="preserve"> activity,</w:t>
            </w:r>
            <w:r w:rsidR="00C23F0E" w:rsidRPr="00C23F0E">
              <w:rPr>
                <w:sz w:val="28"/>
                <w:szCs w:val="28"/>
              </w:rPr>
              <w:t xml:space="preserve"> we have </w:t>
            </w:r>
            <w:r w:rsidR="00C23F0E">
              <w:rPr>
                <w:sz w:val="28"/>
                <w:szCs w:val="28"/>
              </w:rPr>
              <w:t>met with</w:t>
            </w:r>
            <w:r w:rsidR="00C23F0E" w:rsidRPr="00C23F0E">
              <w:rPr>
                <w:sz w:val="28"/>
                <w:szCs w:val="28"/>
              </w:rPr>
              <w:t xml:space="preserve"> the Ethnic Minority Entrepreneurship and Employment Network</w:t>
            </w:r>
            <w:r w:rsidR="00193C9F">
              <w:rPr>
                <w:sz w:val="28"/>
                <w:szCs w:val="28"/>
              </w:rPr>
              <w:t xml:space="preserve"> and taken their feedback</w:t>
            </w:r>
            <w:r w:rsidR="00C23F0E">
              <w:rPr>
                <w:sz w:val="28"/>
                <w:szCs w:val="28"/>
              </w:rPr>
              <w:t xml:space="preserve">. Any planned activity in relation to new programmes to address the needs </w:t>
            </w:r>
            <w:r w:rsidR="00C23F0E" w:rsidRPr="003F3FC9">
              <w:rPr>
                <w:sz w:val="28"/>
                <w:szCs w:val="28"/>
              </w:rPr>
              <w:t>of this Section 75 category</w:t>
            </w:r>
            <w:r w:rsidR="00193C9F">
              <w:rPr>
                <w:sz w:val="28"/>
                <w:szCs w:val="28"/>
              </w:rPr>
              <w:t>,</w:t>
            </w:r>
            <w:r w:rsidR="003F3FC9" w:rsidRPr="003F3FC9">
              <w:rPr>
                <w:sz w:val="28"/>
                <w:szCs w:val="28"/>
              </w:rPr>
              <w:t xml:space="preserve"> may be impacted by budgetary pressures.</w:t>
            </w:r>
          </w:p>
        </w:tc>
        <w:tc>
          <w:tcPr>
            <w:tcW w:w="3540" w:type="dxa"/>
            <w:tcBorders>
              <w:top w:val="single" w:sz="4" w:space="0" w:color="auto"/>
              <w:left w:val="single" w:sz="4" w:space="0" w:color="auto"/>
              <w:bottom w:val="single" w:sz="4" w:space="0" w:color="auto"/>
              <w:right w:val="single" w:sz="4" w:space="0" w:color="auto"/>
            </w:tcBorders>
          </w:tcPr>
          <w:p w14:paraId="2E4DC23A" w14:textId="7A711662" w:rsidR="00107DC4" w:rsidRPr="00837F64" w:rsidRDefault="00107DC4" w:rsidP="00107DC4">
            <w:pPr>
              <w:autoSpaceDE w:val="0"/>
              <w:autoSpaceDN w:val="0"/>
              <w:adjustRightInd w:val="0"/>
              <w:spacing w:before="300" w:after="300"/>
              <w:rPr>
                <w:rFonts w:cs="Arial"/>
                <w:sz w:val="28"/>
                <w:szCs w:val="28"/>
              </w:rPr>
            </w:pPr>
            <w:r>
              <w:rPr>
                <w:rFonts w:cs="Arial"/>
                <w:sz w:val="28"/>
                <w:szCs w:val="28"/>
              </w:rPr>
              <w:t>M</w:t>
            </w:r>
            <w:r w:rsidR="007F3045">
              <w:rPr>
                <w:rFonts w:cs="Arial"/>
                <w:sz w:val="28"/>
                <w:szCs w:val="28"/>
              </w:rPr>
              <w:t>aj</w:t>
            </w:r>
            <w:r>
              <w:rPr>
                <w:rFonts w:cs="Arial"/>
                <w:sz w:val="28"/>
                <w:szCs w:val="28"/>
              </w:rPr>
              <w:t>or (-</w:t>
            </w:r>
            <w:proofErr w:type="spellStart"/>
            <w:r>
              <w:rPr>
                <w:rFonts w:cs="Arial"/>
                <w:sz w:val="28"/>
                <w:szCs w:val="28"/>
              </w:rPr>
              <w:t>ve</w:t>
            </w:r>
            <w:proofErr w:type="spellEnd"/>
            <w:r>
              <w:rPr>
                <w:rFonts w:cs="Arial"/>
                <w:sz w:val="28"/>
                <w:szCs w:val="28"/>
              </w:rPr>
              <w:t>)</w:t>
            </w:r>
          </w:p>
        </w:tc>
      </w:tr>
      <w:tr w:rsidR="00107DC4" w:rsidRPr="00837F64" w14:paraId="0F5537BA" w14:textId="77777777" w:rsidTr="00837F64">
        <w:tc>
          <w:tcPr>
            <w:tcW w:w="1788" w:type="dxa"/>
            <w:tcBorders>
              <w:top w:val="single" w:sz="4" w:space="0" w:color="auto"/>
              <w:left w:val="single" w:sz="4" w:space="0" w:color="auto"/>
              <w:bottom w:val="single" w:sz="4" w:space="0" w:color="auto"/>
              <w:right w:val="single" w:sz="4" w:space="0" w:color="auto"/>
            </w:tcBorders>
            <w:shd w:val="clear" w:color="auto" w:fill="E6E6E6"/>
          </w:tcPr>
          <w:p w14:paraId="22005BC6" w14:textId="77777777" w:rsidR="00107DC4" w:rsidRPr="00837F64" w:rsidRDefault="00107DC4" w:rsidP="00107DC4">
            <w:pPr>
              <w:autoSpaceDE w:val="0"/>
              <w:autoSpaceDN w:val="0"/>
              <w:adjustRightInd w:val="0"/>
              <w:spacing w:before="300" w:after="300"/>
              <w:rPr>
                <w:rFonts w:cs="Arial"/>
                <w:sz w:val="28"/>
                <w:szCs w:val="28"/>
              </w:rPr>
            </w:pPr>
            <w:r w:rsidRPr="00837F64">
              <w:rPr>
                <w:rFonts w:cs="Arial"/>
                <w:sz w:val="28"/>
                <w:szCs w:val="28"/>
              </w:rPr>
              <w:t>Age</w:t>
            </w:r>
          </w:p>
        </w:tc>
        <w:tc>
          <w:tcPr>
            <w:tcW w:w="4860" w:type="dxa"/>
            <w:tcBorders>
              <w:top w:val="single" w:sz="4" w:space="0" w:color="auto"/>
              <w:left w:val="single" w:sz="4" w:space="0" w:color="auto"/>
              <w:bottom w:val="single" w:sz="4" w:space="0" w:color="auto"/>
              <w:right w:val="single" w:sz="4" w:space="0" w:color="auto"/>
            </w:tcBorders>
          </w:tcPr>
          <w:p w14:paraId="1D656467" w14:textId="1DAB1BAE" w:rsidR="00193C9F" w:rsidRPr="00437057" w:rsidRDefault="003F05F9" w:rsidP="00D20945">
            <w:pPr>
              <w:autoSpaceDE w:val="0"/>
              <w:autoSpaceDN w:val="0"/>
              <w:adjustRightInd w:val="0"/>
              <w:spacing w:before="300" w:after="300"/>
              <w:rPr>
                <w:rFonts w:cs="Arial"/>
                <w:sz w:val="28"/>
                <w:szCs w:val="28"/>
              </w:rPr>
            </w:pPr>
            <w:r w:rsidRPr="00437057">
              <w:rPr>
                <w:rFonts w:cs="Arial"/>
                <w:sz w:val="28"/>
                <w:szCs w:val="28"/>
              </w:rPr>
              <w:t xml:space="preserve">The proposed budgetary ‘under allocation’ for </w:t>
            </w:r>
            <w:r w:rsidR="007D3015" w:rsidRPr="00437057">
              <w:rPr>
                <w:rFonts w:cs="Arial"/>
                <w:sz w:val="28"/>
                <w:szCs w:val="28"/>
              </w:rPr>
              <w:t>2025/26</w:t>
            </w:r>
            <w:r w:rsidRPr="00437057">
              <w:rPr>
                <w:rFonts w:cs="Arial"/>
                <w:sz w:val="28"/>
                <w:szCs w:val="28"/>
              </w:rPr>
              <w:t xml:space="preserve"> may have the effect of curtailing </w:t>
            </w:r>
            <w:commentRangeStart w:id="6"/>
            <w:r w:rsidR="00107DC4" w:rsidRPr="00437057">
              <w:rPr>
                <w:rFonts w:cs="Arial"/>
                <w:sz w:val="28"/>
                <w:szCs w:val="28"/>
              </w:rPr>
              <w:t>proposed positive action measures</w:t>
            </w:r>
            <w:r w:rsidR="00081E69" w:rsidRPr="00437057">
              <w:rPr>
                <w:rFonts w:cs="Arial"/>
                <w:sz w:val="28"/>
                <w:szCs w:val="28"/>
              </w:rPr>
              <w:t xml:space="preserve"> aimed at young people and women returnees to the labour market</w:t>
            </w:r>
            <w:r w:rsidR="00107DC4" w:rsidRPr="00437057">
              <w:rPr>
                <w:rFonts w:cs="Arial"/>
                <w:sz w:val="28"/>
                <w:szCs w:val="28"/>
              </w:rPr>
              <w:t>.</w:t>
            </w:r>
            <w:commentRangeEnd w:id="6"/>
            <w:r w:rsidR="00752FBB" w:rsidRPr="00437057">
              <w:rPr>
                <w:rStyle w:val="CommentReference"/>
                <w:rFonts w:asciiTheme="minorHAnsi" w:eastAsiaTheme="minorHAnsi" w:hAnsiTheme="minorHAnsi" w:cstheme="minorBidi"/>
              </w:rPr>
              <w:commentReference w:id="6"/>
            </w:r>
            <w:r w:rsidR="003F3FC9" w:rsidRPr="00437057">
              <w:rPr>
                <w:rFonts w:cs="Arial"/>
                <w:sz w:val="28"/>
                <w:szCs w:val="28"/>
              </w:rPr>
              <w:t xml:space="preserve">  </w:t>
            </w:r>
          </w:p>
          <w:p w14:paraId="02CD71B5" w14:textId="132B518C" w:rsidR="00107DC4" w:rsidRPr="00437057" w:rsidRDefault="00193C9F" w:rsidP="00D20945">
            <w:pPr>
              <w:autoSpaceDE w:val="0"/>
              <w:autoSpaceDN w:val="0"/>
              <w:adjustRightInd w:val="0"/>
              <w:spacing w:before="300" w:after="300"/>
              <w:rPr>
                <w:rFonts w:cs="Arial"/>
                <w:sz w:val="28"/>
                <w:szCs w:val="28"/>
              </w:rPr>
            </w:pPr>
            <w:r w:rsidRPr="00437057">
              <w:rPr>
                <w:rFonts w:cs="Arial"/>
                <w:sz w:val="28"/>
                <w:szCs w:val="28"/>
              </w:rPr>
              <w:t xml:space="preserve">Any future </w:t>
            </w:r>
            <w:r w:rsidR="003B6991" w:rsidRPr="00437057">
              <w:rPr>
                <w:rFonts w:cs="Arial"/>
                <w:sz w:val="28"/>
                <w:szCs w:val="28"/>
              </w:rPr>
              <w:t>targeted interventions</w:t>
            </w:r>
            <w:r w:rsidR="000E7C6D" w:rsidRPr="00437057">
              <w:rPr>
                <w:rFonts w:cs="Arial"/>
                <w:sz w:val="28"/>
                <w:szCs w:val="28"/>
              </w:rPr>
              <w:t xml:space="preserve">, </w:t>
            </w:r>
            <w:r w:rsidRPr="00437057">
              <w:rPr>
                <w:rFonts w:cs="Arial"/>
                <w:sz w:val="28"/>
                <w:szCs w:val="28"/>
              </w:rPr>
              <w:t>particularly those related to entrepreneurship</w:t>
            </w:r>
            <w:r w:rsidR="00437057" w:rsidRPr="00437057">
              <w:rPr>
                <w:rFonts w:cs="Arial"/>
                <w:sz w:val="28"/>
                <w:szCs w:val="28"/>
              </w:rPr>
              <w:t xml:space="preserve"> may be impacted by budgetary measures.</w:t>
            </w:r>
          </w:p>
        </w:tc>
        <w:tc>
          <w:tcPr>
            <w:tcW w:w="3540" w:type="dxa"/>
            <w:tcBorders>
              <w:top w:val="single" w:sz="4" w:space="0" w:color="auto"/>
              <w:left w:val="single" w:sz="4" w:space="0" w:color="auto"/>
              <w:bottom w:val="single" w:sz="4" w:space="0" w:color="auto"/>
              <w:right w:val="single" w:sz="4" w:space="0" w:color="auto"/>
            </w:tcBorders>
          </w:tcPr>
          <w:p w14:paraId="1E8FD7C4" w14:textId="5DF9B665" w:rsidR="00107DC4" w:rsidRPr="00837F64" w:rsidRDefault="00107DC4" w:rsidP="00107DC4">
            <w:pPr>
              <w:autoSpaceDE w:val="0"/>
              <w:autoSpaceDN w:val="0"/>
              <w:adjustRightInd w:val="0"/>
              <w:spacing w:before="300" w:after="300"/>
              <w:rPr>
                <w:rFonts w:cs="Arial"/>
                <w:sz w:val="28"/>
                <w:szCs w:val="28"/>
              </w:rPr>
            </w:pPr>
            <w:r>
              <w:rPr>
                <w:rFonts w:cs="Arial"/>
                <w:sz w:val="28"/>
                <w:szCs w:val="28"/>
              </w:rPr>
              <w:t>M</w:t>
            </w:r>
            <w:r w:rsidR="007F3045">
              <w:rPr>
                <w:rFonts w:cs="Arial"/>
                <w:sz w:val="28"/>
                <w:szCs w:val="28"/>
              </w:rPr>
              <w:t>ajor</w:t>
            </w:r>
            <w:r>
              <w:rPr>
                <w:rFonts w:cs="Arial"/>
                <w:sz w:val="28"/>
                <w:szCs w:val="28"/>
              </w:rPr>
              <w:t xml:space="preserve"> (-</w:t>
            </w:r>
            <w:proofErr w:type="spellStart"/>
            <w:r>
              <w:rPr>
                <w:rFonts w:cs="Arial"/>
                <w:sz w:val="28"/>
                <w:szCs w:val="28"/>
              </w:rPr>
              <w:t>ve</w:t>
            </w:r>
            <w:proofErr w:type="spellEnd"/>
            <w:r>
              <w:rPr>
                <w:rFonts w:cs="Arial"/>
                <w:sz w:val="28"/>
                <w:szCs w:val="28"/>
              </w:rPr>
              <w:t>)</w:t>
            </w:r>
          </w:p>
        </w:tc>
      </w:tr>
      <w:tr w:rsidR="001A516C" w:rsidRPr="00837F64" w14:paraId="33B48586" w14:textId="77777777" w:rsidTr="00837F64">
        <w:tc>
          <w:tcPr>
            <w:tcW w:w="1788" w:type="dxa"/>
            <w:tcBorders>
              <w:top w:val="single" w:sz="4" w:space="0" w:color="auto"/>
              <w:left w:val="single" w:sz="4" w:space="0" w:color="auto"/>
              <w:bottom w:val="single" w:sz="4" w:space="0" w:color="auto"/>
              <w:right w:val="single" w:sz="4" w:space="0" w:color="auto"/>
            </w:tcBorders>
            <w:shd w:val="clear" w:color="auto" w:fill="E6E6E6"/>
          </w:tcPr>
          <w:p w14:paraId="5347838E" w14:textId="77777777" w:rsidR="001A516C" w:rsidRPr="00837F64" w:rsidRDefault="001A516C" w:rsidP="001A516C">
            <w:pPr>
              <w:autoSpaceDE w:val="0"/>
              <w:autoSpaceDN w:val="0"/>
              <w:adjustRightInd w:val="0"/>
              <w:spacing w:before="300" w:after="300"/>
              <w:rPr>
                <w:rFonts w:cs="Arial"/>
                <w:sz w:val="28"/>
                <w:szCs w:val="28"/>
              </w:rPr>
            </w:pPr>
            <w:r w:rsidRPr="00837F64">
              <w:rPr>
                <w:rFonts w:cs="Arial"/>
                <w:sz w:val="28"/>
                <w:szCs w:val="28"/>
              </w:rPr>
              <w:lastRenderedPageBreak/>
              <w:t xml:space="preserve">Marital status </w:t>
            </w:r>
          </w:p>
        </w:tc>
        <w:tc>
          <w:tcPr>
            <w:tcW w:w="4860" w:type="dxa"/>
            <w:tcBorders>
              <w:top w:val="single" w:sz="4" w:space="0" w:color="auto"/>
              <w:left w:val="single" w:sz="4" w:space="0" w:color="auto"/>
              <w:bottom w:val="single" w:sz="4" w:space="0" w:color="auto"/>
              <w:right w:val="single" w:sz="4" w:space="0" w:color="auto"/>
            </w:tcBorders>
          </w:tcPr>
          <w:p w14:paraId="798EC622" w14:textId="77777777" w:rsidR="001A516C" w:rsidRPr="00837F64" w:rsidRDefault="003E4867" w:rsidP="001A516C">
            <w:pPr>
              <w:autoSpaceDE w:val="0"/>
              <w:autoSpaceDN w:val="0"/>
              <w:adjustRightInd w:val="0"/>
              <w:spacing w:before="300" w:after="300"/>
              <w:rPr>
                <w:rFonts w:cs="Arial"/>
                <w:sz w:val="28"/>
                <w:szCs w:val="28"/>
              </w:rPr>
            </w:pPr>
            <w:r>
              <w:rPr>
                <w:rFonts w:cs="Arial"/>
                <w:sz w:val="28"/>
                <w:szCs w:val="28"/>
              </w:rPr>
              <w:t>N/A</w:t>
            </w:r>
          </w:p>
        </w:tc>
        <w:tc>
          <w:tcPr>
            <w:tcW w:w="3540" w:type="dxa"/>
            <w:tcBorders>
              <w:top w:val="single" w:sz="4" w:space="0" w:color="auto"/>
              <w:left w:val="single" w:sz="4" w:space="0" w:color="auto"/>
              <w:bottom w:val="single" w:sz="4" w:space="0" w:color="auto"/>
              <w:right w:val="single" w:sz="4" w:space="0" w:color="auto"/>
            </w:tcBorders>
          </w:tcPr>
          <w:p w14:paraId="7554079A" w14:textId="77777777" w:rsidR="001A516C" w:rsidRPr="00837F64" w:rsidRDefault="001A516C" w:rsidP="001A516C">
            <w:pPr>
              <w:autoSpaceDE w:val="0"/>
              <w:autoSpaceDN w:val="0"/>
              <w:adjustRightInd w:val="0"/>
              <w:spacing w:before="300" w:after="300"/>
              <w:rPr>
                <w:rFonts w:cs="Arial"/>
                <w:sz w:val="28"/>
                <w:szCs w:val="28"/>
              </w:rPr>
            </w:pPr>
            <w:r w:rsidRPr="008A4F69">
              <w:rPr>
                <w:rFonts w:cs="Arial"/>
                <w:sz w:val="28"/>
                <w:szCs w:val="28"/>
              </w:rPr>
              <w:t>None</w:t>
            </w:r>
          </w:p>
        </w:tc>
      </w:tr>
      <w:tr w:rsidR="001A516C" w:rsidRPr="00837F64" w14:paraId="32FF1ECE" w14:textId="77777777" w:rsidTr="00837F64">
        <w:tc>
          <w:tcPr>
            <w:tcW w:w="1788" w:type="dxa"/>
            <w:tcBorders>
              <w:top w:val="single" w:sz="4" w:space="0" w:color="auto"/>
              <w:left w:val="single" w:sz="4" w:space="0" w:color="auto"/>
              <w:bottom w:val="single" w:sz="4" w:space="0" w:color="auto"/>
              <w:right w:val="single" w:sz="4" w:space="0" w:color="auto"/>
            </w:tcBorders>
            <w:shd w:val="clear" w:color="auto" w:fill="E6E6E6"/>
          </w:tcPr>
          <w:p w14:paraId="2F7332C8" w14:textId="77777777" w:rsidR="001A516C" w:rsidRPr="00837F64" w:rsidRDefault="001A516C" w:rsidP="001A516C">
            <w:pPr>
              <w:autoSpaceDE w:val="0"/>
              <w:autoSpaceDN w:val="0"/>
              <w:adjustRightInd w:val="0"/>
              <w:spacing w:before="300" w:after="300"/>
              <w:rPr>
                <w:rFonts w:cs="Arial"/>
                <w:sz w:val="28"/>
                <w:szCs w:val="28"/>
              </w:rPr>
            </w:pPr>
            <w:r w:rsidRPr="00837F64">
              <w:rPr>
                <w:rFonts w:cs="Arial"/>
                <w:sz w:val="28"/>
                <w:szCs w:val="28"/>
              </w:rPr>
              <w:t>Sexual orientation</w:t>
            </w:r>
          </w:p>
        </w:tc>
        <w:tc>
          <w:tcPr>
            <w:tcW w:w="4860" w:type="dxa"/>
            <w:tcBorders>
              <w:top w:val="single" w:sz="4" w:space="0" w:color="auto"/>
              <w:left w:val="single" w:sz="4" w:space="0" w:color="auto"/>
              <w:bottom w:val="single" w:sz="4" w:space="0" w:color="auto"/>
              <w:right w:val="single" w:sz="4" w:space="0" w:color="auto"/>
            </w:tcBorders>
          </w:tcPr>
          <w:p w14:paraId="716FF8F9" w14:textId="77777777" w:rsidR="001A516C" w:rsidRPr="00837F64" w:rsidRDefault="003E4867" w:rsidP="001A516C">
            <w:pPr>
              <w:autoSpaceDE w:val="0"/>
              <w:autoSpaceDN w:val="0"/>
              <w:adjustRightInd w:val="0"/>
              <w:spacing w:before="300" w:after="300"/>
              <w:rPr>
                <w:rFonts w:cs="Arial"/>
                <w:sz w:val="28"/>
                <w:szCs w:val="28"/>
              </w:rPr>
            </w:pPr>
            <w:r>
              <w:rPr>
                <w:rFonts w:cs="Arial"/>
                <w:sz w:val="28"/>
                <w:szCs w:val="28"/>
              </w:rPr>
              <w:t>N/A</w:t>
            </w:r>
          </w:p>
        </w:tc>
        <w:tc>
          <w:tcPr>
            <w:tcW w:w="3540" w:type="dxa"/>
            <w:tcBorders>
              <w:top w:val="single" w:sz="4" w:space="0" w:color="auto"/>
              <w:left w:val="single" w:sz="4" w:space="0" w:color="auto"/>
              <w:bottom w:val="single" w:sz="4" w:space="0" w:color="auto"/>
              <w:right w:val="single" w:sz="4" w:space="0" w:color="auto"/>
            </w:tcBorders>
          </w:tcPr>
          <w:p w14:paraId="6FAF4BE2" w14:textId="77777777" w:rsidR="001A516C" w:rsidRPr="00837F64" w:rsidRDefault="001A516C" w:rsidP="001A516C">
            <w:pPr>
              <w:autoSpaceDE w:val="0"/>
              <w:autoSpaceDN w:val="0"/>
              <w:adjustRightInd w:val="0"/>
              <w:spacing w:before="300" w:after="300"/>
              <w:rPr>
                <w:rFonts w:cs="Arial"/>
                <w:sz w:val="28"/>
                <w:szCs w:val="28"/>
              </w:rPr>
            </w:pPr>
            <w:r w:rsidRPr="008A4F69">
              <w:rPr>
                <w:rFonts w:cs="Arial"/>
                <w:sz w:val="28"/>
                <w:szCs w:val="28"/>
              </w:rPr>
              <w:t>None</w:t>
            </w:r>
          </w:p>
        </w:tc>
      </w:tr>
      <w:tr w:rsidR="00107DC4" w:rsidRPr="00837F64" w14:paraId="1002CF5A" w14:textId="77777777" w:rsidTr="00837F64">
        <w:tc>
          <w:tcPr>
            <w:tcW w:w="1788" w:type="dxa"/>
            <w:tcBorders>
              <w:top w:val="single" w:sz="4" w:space="0" w:color="auto"/>
              <w:left w:val="single" w:sz="4" w:space="0" w:color="auto"/>
              <w:bottom w:val="single" w:sz="4" w:space="0" w:color="auto"/>
              <w:right w:val="single" w:sz="4" w:space="0" w:color="auto"/>
            </w:tcBorders>
            <w:shd w:val="clear" w:color="auto" w:fill="E6E6E6"/>
          </w:tcPr>
          <w:p w14:paraId="004D8880" w14:textId="77777777" w:rsidR="00107DC4" w:rsidRPr="00837F64" w:rsidRDefault="00107DC4" w:rsidP="00107DC4">
            <w:pPr>
              <w:autoSpaceDE w:val="0"/>
              <w:autoSpaceDN w:val="0"/>
              <w:adjustRightInd w:val="0"/>
              <w:spacing w:before="300" w:after="300"/>
              <w:ind w:right="-189"/>
              <w:rPr>
                <w:rFonts w:cs="Arial"/>
                <w:sz w:val="28"/>
                <w:szCs w:val="28"/>
              </w:rPr>
            </w:pPr>
            <w:r w:rsidRPr="00837F64">
              <w:rPr>
                <w:rFonts w:cs="Arial"/>
                <w:sz w:val="28"/>
                <w:szCs w:val="28"/>
              </w:rPr>
              <w:t xml:space="preserve">Men and women generally </w:t>
            </w:r>
          </w:p>
        </w:tc>
        <w:tc>
          <w:tcPr>
            <w:tcW w:w="4860" w:type="dxa"/>
            <w:tcBorders>
              <w:top w:val="single" w:sz="4" w:space="0" w:color="auto"/>
              <w:left w:val="single" w:sz="4" w:space="0" w:color="auto"/>
              <w:bottom w:val="single" w:sz="4" w:space="0" w:color="auto"/>
              <w:right w:val="single" w:sz="4" w:space="0" w:color="auto"/>
            </w:tcBorders>
          </w:tcPr>
          <w:p w14:paraId="05A1BF24" w14:textId="77777777" w:rsidR="00AD7B0C" w:rsidRDefault="003F05F9" w:rsidP="00107DC4">
            <w:pPr>
              <w:autoSpaceDE w:val="0"/>
              <w:autoSpaceDN w:val="0"/>
              <w:adjustRightInd w:val="0"/>
              <w:spacing w:before="300" w:after="300"/>
              <w:rPr>
                <w:rFonts w:cs="Arial"/>
                <w:sz w:val="28"/>
                <w:szCs w:val="28"/>
              </w:rPr>
            </w:pPr>
            <w:r w:rsidRPr="003F05F9">
              <w:rPr>
                <w:rFonts w:cs="Arial"/>
                <w:sz w:val="28"/>
                <w:szCs w:val="28"/>
              </w:rPr>
              <w:t xml:space="preserve">The proposed budgetary ‘under allocation’ for </w:t>
            </w:r>
            <w:r w:rsidR="007D3015">
              <w:rPr>
                <w:rFonts w:cs="Arial"/>
                <w:sz w:val="28"/>
                <w:szCs w:val="28"/>
              </w:rPr>
              <w:t>2025/26</w:t>
            </w:r>
            <w:r w:rsidRPr="003F05F9">
              <w:rPr>
                <w:rFonts w:cs="Arial"/>
                <w:sz w:val="28"/>
                <w:szCs w:val="28"/>
              </w:rPr>
              <w:t xml:space="preserve"> may have the effect of curtailing </w:t>
            </w:r>
            <w:commentRangeStart w:id="7"/>
            <w:r w:rsidR="00107DC4">
              <w:rPr>
                <w:rFonts w:cs="Arial"/>
                <w:sz w:val="28"/>
                <w:szCs w:val="28"/>
              </w:rPr>
              <w:t xml:space="preserve">proposed positive action measures, </w:t>
            </w:r>
            <w:r w:rsidR="00081E69">
              <w:rPr>
                <w:rFonts w:cs="Arial"/>
                <w:sz w:val="28"/>
                <w:szCs w:val="28"/>
              </w:rPr>
              <w:t xml:space="preserve">and including programmes designed to address under-representation of women in </w:t>
            </w:r>
            <w:r>
              <w:rPr>
                <w:rFonts w:cs="Arial"/>
                <w:sz w:val="28"/>
                <w:szCs w:val="28"/>
              </w:rPr>
              <w:t xml:space="preserve">STEM </w:t>
            </w:r>
            <w:r w:rsidR="007F3045">
              <w:rPr>
                <w:rFonts w:cs="Arial"/>
                <w:sz w:val="28"/>
                <w:szCs w:val="28"/>
              </w:rPr>
              <w:t xml:space="preserve">and </w:t>
            </w:r>
            <w:r w:rsidR="00081E69">
              <w:rPr>
                <w:rFonts w:cs="Arial"/>
                <w:sz w:val="28"/>
                <w:szCs w:val="28"/>
              </w:rPr>
              <w:t>leadership roles</w:t>
            </w:r>
            <w:r w:rsidR="00107DC4">
              <w:rPr>
                <w:rFonts w:cs="Arial"/>
                <w:sz w:val="28"/>
                <w:szCs w:val="28"/>
              </w:rPr>
              <w:t>.</w:t>
            </w:r>
            <w:commentRangeEnd w:id="7"/>
            <w:r w:rsidR="00752FBB">
              <w:rPr>
                <w:rStyle w:val="CommentReference"/>
                <w:rFonts w:asciiTheme="minorHAnsi" w:eastAsiaTheme="minorHAnsi" w:hAnsiTheme="minorHAnsi" w:cstheme="minorBidi"/>
              </w:rPr>
              <w:commentReference w:id="7"/>
            </w:r>
            <w:r w:rsidR="00AD7B0C">
              <w:rPr>
                <w:rFonts w:cs="Arial"/>
                <w:sz w:val="28"/>
                <w:szCs w:val="28"/>
              </w:rPr>
              <w:t xml:space="preserve">  </w:t>
            </w:r>
          </w:p>
          <w:p w14:paraId="34809F04" w14:textId="641DAF6B" w:rsidR="000B3844" w:rsidRDefault="0030628F" w:rsidP="00107DC4">
            <w:pPr>
              <w:autoSpaceDE w:val="0"/>
              <w:autoSpaceDN w:val="0"/>
              <w:adjustRightInd w:val="0"/>
              <w:spacing w:before="300" w:after="300"/>
              <w:rPr>
                <w:rFonts w:cs="Arial"/>
                <w:sz w:val="28"/>
                <w:szCs w:val="28"/>
              </w:rPr>
            </w:pPr>
            <w:r>
              <w:rPr>
                <w:rFonts w:cs="Arial"/>
                <w:sz w:val="28"/>
                <w:szCs w:val="28"/>
              </w:rPr>
              <w:t xml:space="preserve">The GEM entrepreneurship scheme has long recognised the </w:t>
            </w:r>
            <w:r w:rsidR="00411B55">
              <w:rPr>
                <w:rFonts w:cs="Arial"/>
                <w:sz w:val="28"/>
                <w:szCs w:val="28"/>
              </w:rPr>
              <w:t>under</w:t>
            </w:r>
            <w:r w:rsidR="000B3844">
              <w:rPr>
                <w:rFonts w:cs="Arial"/>
                <w:sz w:val="28"/>
                <w:szCs w:val="28"/>
              </w:rPr>
              <w:t>-</w:t>
            </w:r>
            <w:r w:rsidR="00411B55">
              <w:rPr>
                <w:rFonts w:cs="Arial"/>
                <w:sz w:val="28"/>
                <w:szCs w:val="28"/>
              </w:rPr>
              <w:t xml:space="preserve">representation of women among entrepreneurs and has taken steps to address this </w:t>
            </w:r>
            <w:r w:rsidR="00323962">
              <w:rPr>
                <w:rFonts w:cs="Arial"/>
                <w:sz w:val="28"/>
                <w:szCs w:val="28"/>
              </w:rPr>
              <w:t>inequality through a range of adaptations. The scheme has witnessed a rise in female representation as a direct consequence.</w:t>
            </w:r>
          </w:p>
          <w:p w14:paraId="41229D37" w14:textId="48B13B81" w:rsidR="00AD7B0C" w:rsidRDefault="000B3844" w:rsidP="00107DC4">
            <w:pPr>
              <w:autoSpaceDE w:val="0"/>
              <w:autoSpaceDN w:val="0"/>
              <w:adjustRightInd w:val="0"/>
              <w:spacing w:before="300" w:after="300"/>
              <w:rPr>
                <w:color w:val="000000"/>
                <w:sz w:val="28"/>
                <w:szCs w:val="28"/>
                <w:shd w:val="clear" w:color="auto" w:fill="FFFFFF"/>
              </w:rPr>
            </w:pPr>
            <w:r>
              <w:rPr>
                <w:rFonts w:cs="Arial"/>
                <w:sz w:val="28"/>
                <w:szCs w:val="28"/>
              </w:rPr>
              <w:t xml:space="preserve">Other examples </w:t>
            </w:r>
            <w:r w:rsidR="00437057">
              <w:rPr>
                <w:rFonts w:cs="Arial"/>
                <w:sz w:val="28"/>
                <w:szCs w:val="28"/>
              </w:rPr>
              <w:t>include</w:t>
            </w:r>
            <w:r w:rsidR="00AD7B0C">
              <w:rPr>
                <w:rFonts w:cs="Arial"/>
                <w:sz w:val="28"/>
                <w:szCs w:val="28"/>
              </w:rPr>
              <w:t xml:space="preserve"> </w:t>
            </w:r>
            <w:r w:rsidR="00AD7B0C" w:rsidRPr="00AD7B0C">
              <w:rPr>
                <w:sz w:val="28"/>
                <w:szCs w:val="28"/>
              </w:rPr>
              <w:t>the Ambition to Grow Female Leadership Programme</w:t>
            </w:r>
            <w:r w:rsidR="00AD7B0C">
              <w:rPr>
                <w:sz w:val="28"/>
                <w:szCs w:val="28"/>
              </w:rPr>
              <w:t xml:space="preserve">, </w:t>
            </w:r>
            <w:r w:rsidR="00AD7B0C" w:rsidRPr="00AD7B0C">
              <w:rPr>
                <w:color w:val="000000"/>
                <w:sz w:val="28"/>
                <w:szCs w:val="28"/>
                <w:shd w:val="clear" w:color="auto" w:fill="FFFFFF"/>
              </w:rPr>
              <w:t>a Northern Ireland wide competition targeted at female only owned businesses, not currently engaged with Invest NI, offer</w:t>
            </w:r>
            <w:r w:rsidR="00AD7B0C">
              <w:rPr>
                <w:color w:val="000000"/>
                <w:sz w:val="28"/>
                <w:szCs w:val="28"/>
                <w:shd w:val="clear" w:color="auto" w:fill="FFFFFF"/>
              </w:rPr>
              <w:t>ing</w:t>
            </w:r>
            <w:r w:rsidR="00AD7B0C" w:rsidRPr="00AD7B0C">
              <w:rPr>
                <w:color w:val="000000"/>
                <w:sz w:val="28"/>
                <w:szCs w:val="28"/>
                <w:shd w:val="clear" w:color="auto" w:fill="FFFFFF"/>
              </w:rPr>
              <w:t xml:space="preserve"> the opportunity to apply for financial support and join Invest Northern Ireland’s client portfolio</w:t>
            </w:r>
            <w:r w:rsidR="00AD7B0C">
              <w:rPr>
                <w:color w:val="000000"/>
                <w:sz w:val="28"/>
                <w:szCs w:val="28"/>
                <w:shd w:val="clear" w:color="auto" w:fill="FFFFFF"/>
              </w:rPr>
              <w:t xml:space="preserve">.  </w:t>
            </w:r>
          </w:p>
          <w:p w14:paraId="397A4ACD" w14:textId="30E8CBDA" w:rsidR="00AD7B0C" w:rsidRPr="005B61F0" w:rsidRDefault="00AD7B0C" w:rsidP="005B61F0">
            <w:pPr>
              <w:spacing w:before="120" w:after="120"/>
              <w:rPr>
                <w:rFonts w:asciiTheme="minorHAnsi" w:eastAsiaTheme="minorHAnsi" w:hAnsiTheme="minorHAnsi" w:cstheme="minorHAnsi"/>
                <w:szCs w:val="24"/>
              </w:rPr>
            </w:pPr>
            <w:r>
              <w:rPr>
                <w:color w:val="000000"/>
                <w:sz w:val="28"/>
                <w:szCs w:val="28"/>
                <w:shd w:val="clear" w:color="auto" w:fill="FFFFFF"/>
              </w:rPr>
              <w:t xml:space="preserve">Budget pressures could also </w:t>
            </w:r>
            <w:r w:rsidRPr="00AD7B0C">
              <w:rPr>
                <w:color w:val="000000"/>
                <w:sz w:val="28"/>
                <w:szCs w:val="28"/>
                <w:shd w:val="clear" w:color="auto" w:fill="FFFFFF"/>
              </w:rPr>
              <w:t xml:space="preserve">impact </w:t>
            </w:r>
            <w:r w:rsidRPr="00AD7B0C">
              <w:rPr>
                <w:sz w:val="28"/>
                <w:szCs w:val="28"/>
              </w:rPr>
              <w:t xml:space="preserve">the </w:t>
            </w:r>
            <w:proofErr w:type="spellStart"/>
            <w:r w:rsidRPr="00AD7B0C">
              <w:rPr>
                <w:sz w:val="28"/>
                <w:szCs w:val="28"/>
              </w:rPr>
              <w:t>Techstart</w:t>
            </w:r>
            <w:proofErr w:type="spellEnd"/>
            <w:r w:rsidRPr="00AD7B0C">
              <w:rPr>
                <w:sz w:val="28"/>
                <w:szCs w:val="28"/>
              </w:rPr>
              <w:t xml:space="preserve"> ‘Female Founders’ venture capital fund</w:t>
            </w:r>
            <w:r w:rsidR="005B61F0">
              <w:rPr>
                <w:sz w:val="28"/>
                <w:szCs w:val="28"/>
              </w:rPr>
              <w:t xml:space="preserve"> as well as the Leader Programme and Leadership Team Programme. </w:t>
            </w:r>
            <w:r w:rsidR="005B61F0" w:rsidRPr="005B61F0">
              <w:rPr>
                <w:rFonts w:eastAsiaTheme="minorHAnsi" w:cs="Arial"/>
                <w:sz w:val="28"/>
                <w:szCs w:val="28"/>
              </w:rPr>
              <w:t xml:space="preserve">These </w:t>
            </w:r>
            <w:r w:rsidR="005B61F0" w:rsidRPr="005B61F0">
              <w:rPr>
                <w:rFonts w:eastAsiaTheme="minorHAnsi" w:cs="Arial"/>
                <w:sz w:val="28"/>
                <w:szCs w:val="28"/>
              </w:rPr>
              <w:lastRenderedPageBreak/>
              <w:t>programmes, while aimed at both sexes, are particularly beneficial to women given their underrepresentation at this level.</w:t>
            </w:r>
          </w:p>
        </w:tc>
        <w:tc>
          <w:tcPr>
            <w:tcW w:w="3540" w:type="dxa"/>
            <w:tcBorders>
              <w:top w:val="single" w:sz="4" w:space="0" w:color="auto"/>
              <w:left w:val="single" w:sz="4" w:space="0" w:color="auto"/>
              <w:bottom w:val="single" w:sz="4" w:space="0" w:color="auto"/>
              <w:right w:val="single" w:sz="4" w:space="0" w:color="auto"/>
            </w:tcBorders>
          </w:tcPr>
          <w:p w14:paraId="23946C13" w14:textId="4C0136E3" w:rsidR="00107DC4" w:rsidRPr="00837F64" w:rsidRDefault="00107DC4" w:rsidP="00107DC4">
            <w:pPr>
              <w:autoSpaceDE w:val="0"/>
              <w:autoSpaceDN w:val="0"/>
              <w:adjustRightInd w:val="0"/>
              <w:spacing w:before="300" w:after="300"/>
              <w:rPr>
                <w:rFonts w:cs="Arial"/>
                <w:sz w:val="28"/>
                <w:szCs w:val="28"/>
              </w:rPr>
            </w:pPr>
            <w:r>
              <w:rPr>
                <w:rFonts w:cs="Arial"/>
                <w:sz w:val="28"/>
                <w:szCs w:val="28"/>
              </w:rPr>
              <w:lastRenderedPageBreak/>
              <w:t>M</w:t>
            </w:r>
            <w:r w:rsidR="007F3045">
              <w:rPr>
                <w:rFonts w:cs="Arial"/>
                <w:sz w:val="28"/>
                <w:szCs w:val="28"/>
              </w:rPr>
              <w:t>ajor</w:t>
            </w:r>
            <w:r>
              <w:rPr>
                <w:rFonts w:cs="Arial"/>
                <w:sz w:val="28"/>
                <w:szCs w:val="28"/>
              </w:rPr>
              <w:t xml:space="preserve"> (-</w:t>
            </w:r>
            <w:proofErr w:type="spellStart"/>
            <w:r>
              <w:rPr>
                <w:rFonts w:cs="Arial"/>
                <w:sz w:val="28"/>
                <w:szCs w:val="28"/>
              </w:rPr>
              <w:t>ve</w:t>
            </w:r>
            <w:proofErr w:type="spellEnd"/>
            <w:r>
              <w:rPr>
                <w:rFonts w:cs="Arial"/>
                <w:sz w:val="28"/>
                <w:szCs w:val="28"/>
              </w:rPr>
              <w:t>)</w:t>
            </w:r>
          </w:p>
        </w:tc>
      </w:tr>
      <w:tr w:rsidR="00107DC4" w:rsidRPr="00837F64" w14:paraId="0E472A49" w14:textId="77777777" w:rsidTr="00837F64">
        <w:tc>
          <w:tcPr>
            <w:tcW w:w="1788" w:type="dxa"/>
            <w:tcBorders>
              <w:top w:val="single" w:sz="4" w:space="0" w:color="auto"/>
              <w:left w:val="single" w:sz="4" w:space="0" w:color="auto"/>
              <w:bottom w:val="single" w:sz="4" w:space="0" w:color="auto"/>
              <w:right w:val="single" w:sz="4" w:space="0" w:color="auto"/>
            </w:tcBorders>
            <w:shd w:val="clear" w:color="auto" w:fill="E6E6E6"/>
          </w:tcPr>
          <w:p w14:paraId="56D956E2" w14:textId="77777777" w:rsidR="00107DC4" w:rsidRPr="00837F64" w:rsidRDefault="00107DC4" w:rsidP="00107DC4">
            <w:pPr>
              <w:autoSpaceDE w:val="0"/>
              <w:autoSpaceDN w:val="0"/>
              <w:adjustRightInd w:val="0"/>
              <w:spacing w:before="300" w:after="300"/>
              <w:rPr>
                <w:rFonts w:cs="Arial"/>
                <w:sz w:val="28"/>
                <w:szCs w:val="28"/>
              </w:rPr>
            </w:pPr>
            <w:r w:rsidRPr="00837F64">
              <w:rPr>
                <w:rFonts w:cs="Arial"/>
                <w:sz w:val="28"/>
                <w:szCs w:val="28"/>
              </w:rPr>
              <w:t>Disability</w:t>
            </w:r>
          </w:p>
        </w:tc>
        <w:tc>
          <w:tcPr>
            <w:tcW w:w="4860" w:type="dxa"/>
            <w:tcBorders>
              <w:top w:val="single" w:sz="4" w:space="0" w:color="auto"/>
              <w:left w:val="single" w:sz="4" w:space="0" w:color="auto"/>
              <w:bottom w:val="single" w:sz="4" w:space="0" w:color="auto"/>
              <w:right w:val="single" w:sz="4" w:space="0" w:color="auto"/>
            </w:tcBorders>
          </w:tcPr>
          <w:p w14:paraId="6AE6F5DD" w14:textId="598598B8" w:rsidR="00107DC4" w:rsidRPr="00837F64" w:rsidRDefault="005B61F0" w:rsidP="00107DC4">
            <w:pPr>
              <w:autoSpaceDE w:val="0"/>
              <w:autoSpaceDN w:val="0"/>
              <w:adjustRightInd w:val="0"/>
              <w:spacing w:before="300" w:after="300"/>
              <w:rPr>
                <w:rFonts w:cs="Arial"/>
                <w:sz w:val="28"/>
                <w:szCs w:val="28"/>
              </w:rPr>
            </w:pPr>
            <w:r w:rsidRPr="005B61F0">
              <w:rPr>
                <w:sz w:val="28"/>
                <w:szCs w:val="28"/>
              </w:rPr>
              <w:t>Given that Invest NI aims to address inequalities within the NI labour market within our remit</w:t>
            </w:r>
            <w:r>
              <w:rPr>
                <w:sz w:val="28"/>
                <w:szCs w:val="28"/>
              </w:rPr>
              <w:t xml:space="preserve"> and people with disabilities are disproportionally represented within society as being economically inactive, </w:t>
            </w:r>
            <w:r>
              <w:rPr>
                <w:rFonts w:cs="Arial"/>
                <w:sz w:val="28"/>
                <w:szCs w:val="28"/>
              </w:rPr>
              <w:t>t</w:t>
            </w:r>
            <w:r w:rsidR="007F3045" w:rsidRPr="007F3045">
              <w:rPr>
                <w:rFonts w:cs="Arial"/>
                <w:sz w:val="28"/>
                <w:szCs w:val="28"/>
              </w:rPr>
              <w:t xml:space="preserve">he proposed budgetary ‘under allocation’ for </w:t>
            </w:r>
            <w:r w:rsidR="007D3015">
              <w:rPr>
                <w:rFonts w:cs="Arial"/>
                <w:sz w:val="28"/>
                <w:szCs w:val="28"/>
              </w:rPr>
              <w:t>2025/26</w:t>
            </w:r>
            <w:r w:rsidR="007F3045" w:rsidRPr="007F3045">
              <w:rPr>
                <w:rFonts w:cs="Arial"/>
                <w:sz w:val="28"/>
                <w:szCs w:val="28"/>
              </w:rPr>
              <w:t xml:space="preserve"> may have the effect of curtailin</w:t>
            </w:r>
            <w:r>
              <w:rPr>
                <w:rFonts w:cs="Arial"/>
                <w:sz w:val="28"/>
                <w:szCs w:val="28"/>
              </w:rPr>
              <w:t xml:space="preserve">g any future </w:t>
            </w:r>
            <w:commentRangeStart w:id="8"/>
            <w:r w:rsidR="00107DC4">
              <w:rPr>
                <w:rFonts w:cs="Arial"/>
                <w:sz w:val="28"/>
                <w:szCs w:val="28"/>
              </w:rPr>
              <w:t>positive action measures</w:t>
            </w:r>
            <w:r>
              <w:rPr>
                <w:rFonts w:cs="Arial"/>
                <w:sz w:val="28"/>
                <w:szCs w:val="28"/>
              </w:rPr>
              <w:t xml:space="preserve"> </w:t>
            </w:r>
            <w:r w:rsidR="00081E69">
              <w:rPr>
                <w:rFonts w:cs="Arial"/>
                <w:sz w:val="28"/>
                <w:szCs w:val="28"/>
              </w:rPr>
              <w:t>designed to have a positive impact on the employment prospects for those with a disability</w:t>
            </w:r>
            <w:r w:rsidR="00107DC4">
              <w:rPr>
                <w:rFonts w:cs="Arial"/>
                <w:sz w:val="28"/>
                <w:szCs w:val="28"/>
              </w:rPr>
              <w:t>.</w:t>
            </w:r>
            <w:commentRangeEnd w:id="8"/>
            <w:r w:rsidR="00752FBB">
              <w:rPr>
                <w:rStyle w:val="CommentReference"/>
                <w:rFonts w:asciiTheme="minorHAnsi" w:eastAsiaTheme="minorHAnsi" w:hAnsiTheme="minorHAnsi" w:cstheme="minorBidi"/>
              </w:rPr>
              <w:commentReference w:id="8"/>
            </w:r>
            <w:r w:rsidRPr="580A1CE9">
              <w:rPr>
                <w:szCs w:val="24"/>
              </w:rPr>
              <w:t xml:space="preserve"> </w:t>
            </w:r>
            <w:r w:rsidRPr="00437057">
              <w:rPr>
                <w:rFonts w:cs="Arial"/>
                <w:sz w:val="28"/>
                <w:szCs w:val="28"/>
              </w:rPr>
              <w:t xml:space="preserve"> </w:t>
            </w:r>
          </w:p>
        </w:tc>
        <w:tc>
          <w:tcPr>
            <w:tcW w:w="3540" w:type="dxa"/>
            <w:tcBorders>
              <w:top w:val="single" w:sz="4" w:space="0" w:color="auto"/>
              <w:left w:val="single" w:sz="4" w:space="0" w:color="auto"/>
              <w:bottom w:val="single" w:sz="4" w:space="0" w:color="auto"/>
              <w:right w:val="single" w:sz="4" w:space="0" w:color="auto"/>
            </w:tcBorders>
          </w:tcPr>
          <w:p w14:paraId="3973105A" w14:textId="64A03071" w:rsidR="00107DC4" w:rsidRPr="00837F64" w:rsidRDefault="00107DC4" w:rsidP="00107DC4">
            <w:pPr>
              <w:autoSpaceDE w:val="0"/>
              <w:autoSpaceDN w:val="0"/>
              <w:adjustRightInd w:val="0"/>
              <w:spacing w:before="300" w:after="300"/>
              <w:rPr>
                <w:rFonts w:cs="Arial"/>
                <w:sz w:val="28"/>
                <w:szCs w:val="28"/>
              </w:rPr>
            </w:pPr>
            <w:r>
              <w:rPr>
                <w:rFonts w:cs="Arial"/>
                <w:sz w:val="28"/>
                <w:szCs w:val="28"/>
              </w:rPr>
              <w:t>M</w:t>
            </w:r>
            <w:r w:rsidR="007F3045">
              <w:rPr>
                <w:rFonts w:cs="Arial"/>
                <w:sz w:val="28"/>
                <w:szCs w:val="28"/>
              </w:rPr>
              <w:t>ajor</w:t>
            </w:r>
            <w:r>
              <w:rPr>
                <w:rFonts w:cs="Arial"/>
                <w:sz w:val="28"/>
                <w:szCs w:val="28"/>
              </w:rPr>
              <w:t xml:space="preserve"> (-</w:t>
            </w:r>
            <w:proofErr w:type="spellStart"/>
            <w:r>
              <w:rPr>
                <w:rFonts w:cs="Arial"/>
                <w:sz w:val="28"/>
                <w:szCs w:val="28"/>
              </w:rPr>
              <w:t>ve</w:t>
            </w:r>
            <w:proofErr w:type="spellEnd"/>
            <w:r>
              <w:rPr>
                <w:rFonts w:cs="Arial"/>
                <w:sz w:val="28"/>
                <w:szCs w:val="28"/>
              </w:rPr>
              <w:t>)</w:t>
            </w:r>
          </w:p>
        </w:tc>
      </w:tr>
      <w:tr w:rsidR="00107DC4" w:rsidRPr="00837F64" w14:paraId="21F5F3FF" w14:textId="77777777" w:rsidTr="00837F64">
        <w:tc>
          <w:tcPr>
            <w:tcW w:w="1788" w:type="dxa"/>
            <w:tcBorders>
              <w:top w:val="single" w:sz="4" w:space="0" w:color="auto"/>
              <w:left w:val="single" w:sz="4" w:space="0" w:color="auto"/>
              <w:bottom w:val="single" w:sz="4" w:space="0" w:color="auto"/>
              <w:right w:val="single" w:sz="4" w:space="0" w:color="auto"/>
            </w:tcBorders>
            <w:shd w:val="clear" w:color="auto" w:fill="E6E6E6"/>
          </w:tcPr>
          <w:p w14:paraId="5B2DE0F9" w14:textId="77777777" w:rsidR="00107DC4" w:rsidRPr="00837F64" w:rsidRDefault="00107DC4" w:rsidP="00107DC4">
            <w:pPr>
              <w:autoSpaceDE w:val="0"/>
              <w:autoSpaceDN w:val="0"/>
              <w:adjustRightInd w:val="0"/>
              <w:spacing w:before="300" w:after="300"/>
              <w:rPr>
                <w:rFonts w:cs="Arial"/>
                <w:sz w:val="28"/>
                <w:szCs w:val="28"/>
              </w:rPr>
            </w:pPr>
            <w:r w:rsidRPr="00837F64">
              <w:rPr>
                <w:rFonts w:cs="Arial"/>
                <w:sz w:val="28"/>
                <w:szCs w:val="28"/>
              </w:rPr>
              <w:t xml:space="preserve">Dependants </w:t>
            </w:r>
          </w:p>
        </w:tc>
        <w:tc>
          <w:tcPr>
            <w:tcW w:w="4860" w:type="dxa"/>
            <w:tcBorders>
              <w:top w:val="single" w:sz="4" w:space="0" w:color="auto"/>
              <w:left w:val="single" w:sz="4" w:space="0" w:color="auto"/>
              <w:bottom w:val="single" w:sz="4" w:space="0" w:color="auto"/>
              <w:right w:val="single" w:sz="4" w:space="0" w:color="auto"/>
            </w:tcBorders>
          </w:tcPr>
          <w:p w14:paraId="19C83A99" w14:textId="77777777" w:rsidR="00437057" w:rsidRDefault="007F3045" w:rsidP="00107DC4">
            <w:pPr>
              <w:autoSpaceDE w:val="0"/>
              <w:autoSpaceDN w:val="0"/>
              <w:adjustRightInd w:val="0"/>
              <w:spacing w:before="300" w:after="300"/>
              <w:rPr>
                <w:rFonts w:cs="Arial"/>
                <w:sz w:val="28"/>
                <w:szCs w:val="28"/>
              </w:rPr>
            </w:pPr>
            <w:r w:rsidRPr="007F3045">
              <w:rPr>
                <w:rFonts w:cs="Arial"/>
                <w:sz w:val="28"/>
                <w:szCs w:val="28"/>
              </w:rPr>
              <w:t xml:space="preserve">The proposed budgetary ‘under allocation’ for </w:t>
            </w:r>
            <w:r w:rsidR="007D3015">
              <w:rPr>
                <w:rFonts w:cs="Arial"/>
                <w:sz w:val="28"/>
                <w:szCs w:val="28"/>
              </w:rPr>
              <w:t>2025/26</w:t>
            </w:r>
            <w:r w:rsidRPr="007F3045">
              <w:rPr>
                <w:rFonts w:cs="Arial"/>
                <w:sz w:val="28"/>
                <w:szCs w:val="28"/>
              </w:rPr>
              <w:t xml:space="preserve"> may have the effect of curtailing </w:t>
            </w:r>
            <w:commentRangeStart w:id="9"/>
            <w:r w:rsidR="00107DC4">
              <w:rPr>
                <w:rFonts w:cs="Arial"/>
                <w:sz w:val="28"/>
                <w:szCs w:val="28"/>
              </w:rPr>
              <w:t xml:space="preserve">proposed positive action measures, </w:t>
            </w:r>
            <w:r w:rsidR="00455154" w:rsidRPr="00455154">
              <w:rPr>
                <w:rFonts w:cs="Arial"/>
                <w:sz w:val="28"/>
                <w:szCs w:val="28"/>
              </w:rPr>
              <w:t xml:space="preserve">including those designed to have a positive impact on employment </w:t>
            </w:r>
            <w:r w:rsidR="00455154">
              <w:rPr>
                <w:rFonts w:cs="Arial"/>
                <w:sz w:val="28"/>
                <w:szCs w:val="28"/>
              </w:rPr>
              <w:t>opportunitie</w:t>
            </w:r>
            <w:r w:rsidR="00455154" w:rsidRPr="00455154">
              <w:rPr>
                <w:rFonts w:cs="Arial"/>
                <w:sz w:val="28"/>
                <w:szCs w:val="28"/>
              </w:rPr>
              <w:t xml:space="preserve">s for those with </w:t>
            </w:r>
            <w:r w:rsidR="00455154">
              <w:rPr>
                <w:rFonts w:cs="Arial"/>
                <w:sz w:val="28"/>
                <w:szCs w:val="28"/>
              </w:rPr>
              <w:t>dependants</w:t>
            </w:r>
            <w:r w:rsidR="00455154" w:rsidRPr="00455154">
              <w:rPr>
                <w:rFonts w:cs="Arial"/>
                <w:sz w:val="28"/>
                <w:szCs w:val="28"/>
              </w:rPr>
              <w:t>.</w:t>
            </w:r>
            <w:commentRangeEnd w:id="9"/>
            <w:r w:rsidR="00752FBB">
              <w:rPr>
                <w:rStyle w:val="CommentReference"/>
                <w:rFonts w:asciiTheme="minorHAnsi" w:eastAsiaTheme="minorHAnsi" w:hAnsiTheme="minorHAnsi" w:cstheme="minorBidi"/>
              </w:rPr>
              <w:commentReference w:id="9"/>
            </w:r>
            <w:r w:rsidR="00C23F0E">
              <w:rPr>
                <w:rFonts w:cs="Arial"/>
                <w:sz w:val="28"/>
                <w:szCs w:val="28"/>
              </w:rPr>
              <w:t xml:space="preserve">  Given that women are disproportionally found to be carers within society, the impact on the programmes relating to women specifically, noted above, may impact on this Section 75 category.</w:t>
            </w:r>
            <w:r w:rsidR="003B6991">
              <w:rPr>
                <w:rFonts w:cs="Arial"/>
                <w:sz w:val="28"/>
                <w:szCs w:val="28"/>
              </w:rPr>
              <w:t xml:space="preserve"> </w:t>
            </w:r>
          </w:p>
          <w:p w14:paraId="0A1CA1FA" w14:textId="488E7F1D" w:rsidR="00107DC4" w:rsidRPr="00837F64" w:rsidRDefault="00107DC4" w:rsidP="00107DC4">
            <w:pPr>
              <w:autoSpaceDE w:val="0"/>
              <w:autoSpaceDN w:val="0"/>
              <w:adjustRightInd w:val="0"/>
              <w:spacing w:before="300" w:after="300"/>
              <w:rPr>
                <w:rFonts w:cs="Arial"/>
                <w:sz w:val="28"/>
                <w:szCs w:val="28"/>
              </w:rPr>
            </w:pPr>
          </w:p>
        </w:tc>
        <w:tc>
          <w:tcPr>
            <w:tcW w:w="3540" w:type="dxa"/>
            <w:tcBorders>
              <w:top w:val="single" w:sz="4" w:space="0" w:color="auto"/>
              <w:left w:val="single" w:sz="4" w:space="0" w:color="auto"/>
              <w:bottom w:val="single" w:sz="4" w:space="0" w:color="auto"/>
              <w:right w:val="single" w:sz="4" w:space="0" w:color="auto"/>
            </w:tcBorders>
          </w:tcPr>
          <w:p w14:paraId="077EAE6B" w14:textId="77777777" w:rsidR="00107DC4" w:rsidRPr="00837F64" w:rsidRDefault="00107DC4" w:rsidP="00107DC4">
            <w:pPr>
              <w:autoSpaceDE w:val="0"/>
              <w:autoSpaceDN w:val="0"/>
              <w:adjustRightInd w:val="0"/>
              <w:spacing w:before="300" w:after="300"/>
              <w:rPr>
                <w:rFonts w:cs="Arial"/>
                <w:sz w:val="28"/>
                <w:szCs w:val="28"/>
              </w:rPr>
            </w:pPr>
            <w:r>
              <w:rPr>
                <w:rFonts w:cs="Arial"/>
                <w:sz w:val="28"/>
                <w:szCs w:val="28"/>
              </w:rPr>
              <w:t>Minor (-</w:t>
            </w:r>
            <w:proofErr w:type="spellStart"/>
            <w:r>
              <w:rPr>
                <w:rFonts w:cs="Arial"/>
                <w:sz w:val="28"/>
                <w:szCs w:val="28"/>
              </w:rPr>
              <w:t>ve</w:t>
            </w:r>
            <w:proofErr w:type="spellEnd"/>
            <w:r>
              <w:rPr>
                <w:rFonts w:cs="Arial"/>
                <w:sz w:val="28"/>
                <w:szCs w:val="28"/>
              </w:rPr>
              <w:t>)</w:t>
            </w:r>
          </w:p>
        </w:tc>
      </w:tr>
    </w:tbl>
    <w:p w14:paraId="739E4F28" w14:textId="77777777" w:rsidR="006C4E50" w:rsidRDefault="006C4E50" w:rsidP="006C4E50"/>
    <w:p w14:paraId="1B4FA35A" w14:textId="77777777" w:rsidR="00584495" w:rsidRDefault="00584495" w:rsidP="006C4E50"/>
    <w:tbl>
      <w:tblPr>
        <w:tblW w:w="1006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1728"/>
        <w:gridCol w:w="4140"/>
        <w:gridCol w:w="4200"/>
      </w:tblGrid>
      <w:tr w:rsidR="006C4E50" w:rsidRPr="00837F64" w14:paraId="30165A59" w14:textId="77777777" w:rsidTr="00107DC4">
        <w:tc>
          <w:tcPr>
            <w:tcW w:w="10068" w:type="dxa"/>
            <w:gridSpan w:val="3"/>
            <w:tcBorders>
              <w:top w:val="single" w:sz="4" w:space="0" w:color="auto"/>
              <w:left w:val="single" w:sz="4" w:space="0" w:color="auto"/>
              <w:bottom w:val="single" w:sz="4" w:space="0" w:color="auto"/>
              <w:right w:val="single" w:sz="4" w:space="0" w:color="auto"/>
            </w:tcBorders>
            <w:shd w:val="clear" w:color="auto" w:fill="C0C0C0"/>
          </w:tcPr>
          <w:p w14:paraId="593A63DF" w14:textId="77777777" w:rsidR="006C4E50" w:rsidRPr="00837F64" w:rsidRDefault="006C4E50" w:rsidP="00837F64">
            <w:pPr>
              <w:autoSpaceDE w:val="0"/>
              <w:autoSpaceDN w:val="0"/>
              <w:adjustRightInd w:val="0"/>
              <w:spacing w:before="120" w:after="120"/>
              <w:ind w:left="709" w:hanging="709"/>
              <w:rPr>
                <w:rFonts w:cs="Arial"/>
                <w:sz w:val="28"/>
                <w:szCs w:val="28"/>
              </w:rPr>
            </w:pPr>
            <w:r w:rsidRPr="00837F64">
              <w:rPr>
                <w:rFonts w:cs="Arial"/>
                <w:sz w:val="28"/>
                <w:szCs w:val="28"/>
              </w:rPr>
              <w:t xml:space="preserve"> </w:t>
            </w:r>
            <w:r w:rsidRPr="00837F64">
              <w:rPr>
                <w:rFonts w:cs="Arial"/>
                <w:b/>
                <w:sz w:val="28"/>
                <w:szCs w:val="28"/>
              </w:rPr>
              <w:t>2</w:t>
            </w:r>
            <w:r w:rsidRPr="00837F64">
              <w:rPr>
                <w:rFonts w:cs="Arial"/>
                <w:sz w:val="28"/>
                <w:szCs w:val="28"/>
              </w:rPr>
              <w:t xml:space="preserve">  </w:t>
            </w:r>
            <w:r w:rsidRPr="00837F64">
              <w:rPr>
                <w:rFonts w:cs="Arial"/>
                <w:sz w:val="28"/>
                <w:szCs w:val="28"/>
              </w:rPr>
              <w:tab/>
              <w:t xml:space="preserve">Are there opportunities to better promote equality of opportunity for people within the </w:t>
            </w:r>
            <w:smartTag w:uri="urn:schemas-microsoft-com:office:smarttags" w:element="PersonName">
              <w:r w:rsidRPr="00837F64">
                <w:rPr>
                  <w:rFonts w:cs="Arial"/>
                  <w:sz w:val="28"/>
                  <w:szCs w:val="28"/>
                </w:rPr>
                <w:t>Section 75</w:t>
              </w:r>
            </w:smartTag>
            <w:r w:rsidRPr="00837F64">
              <w:rPr>
                <w:rFonts w:cs="Arial"/>
                <w:sz w:val="28"/>
                <w:szCs w:val="28"/>
              </w:rPr>
              <w:t xml:space="preserve"> equalities categories?</w:t>
            </w:r>
          </w:p>
        </w:tc>
      </w:tr>
      <w:tr w:rsidR="006C4E50" w:rsidRPr="00837F64" w14:paraId="368648DB"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6494D73B" w14:textId="77777777" w:rsidR="006C4E50" w:rsidRPr="00837F64" w:rsidRDefault="006C4E50" w:rsidP="00837F64">
            <w:pPr>
              <w:autoSpaceDE w:val="0"/>
              <w:autoSpaceDN w:val="0"/>
              <w:adjustRightInd w:val="0"/>
              <w:spacing w:before="240" w:after="240"/>
              <w:rPr>
                <w:rFonts w:cs="Arial"/>
                <w:sz w:val="28"/>
                <w:szCs w:val="28"/>
              </w:rPr>
            </w:pPr>
            <w:smartTag w:uri="urn:schemas-microsoft-com:office:smarttags" w:element="PersonName">
              <w:r w:rsidRPr="00837F64">
                <w:rPr>
                  <w:rFonts w:cs="Arial"/>
                  <w:sz w:val="28"/>
                  <w:szCs w:val="28"/>
                </w:rPr>
                <w:lastRenderedPageBreak/>
                <w:t>Section 75</w:t>
              </w:r>
            </w:smartTag>
            <w:r w:rsidRPr="00837F64">
              <w:rPr>
                <w:rFonts w:cs="Arial"/>
                <w:sz w:val="28"/>
                <w:szCs w:val="28"/>
              </w:rPr>
              <w:t xml:space="preserve"> category </w:t>
            </w:r>
          </w:p>
        </w:tc>
        <w:tc>
          <w:tcPr>
            <w:tcW w:w="4140" w:type="dxa"/>
            <w:tcBorders>
              <w:top w:val="single" w:sz="4" w:space="0" w:color="auto"/>
              <w:left w:val="single" w:sz="4" w:space="0" w:color="auto"/>
              <w:bottom w:val="single" w:sz="4" w:space="0" w:color="auto"/>
              <w:right w:val="single" w:sz="4" w:space="0" w:color="auto"/>
            </w:tcBorders>
            <w:shd w:val="clear" w:color="auto" w:fill="E6E6E6"/>
          </w:tcPr>
          <w:p w14:paraId="3D11D68A"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 xml:space="preserve">If </w:t>
            </w:r>
            <w:r w:rsidRPr="00837F64">
              <w:rPr>
                <w:rFonts w:cs="Arial"/>
                <w:b/>
                <w:sz w:val="28"/>
                <w:szCs w:val="28"/>
              </w:rPr>
              <w:t>Yes</w:t>
            </w:r>
            <w:r w:rsidRPr="00837F64">
              <w:rPr>
                <w:rFonts w:cs="Arial"/>
                <w:sz w:val="28"/>
                <w:szCs w:val="28"/>
              </w:rPr>
              <w:t xml:space="preserve">, provide details  </w:t>
            </w:r>
          </w:p>
        </w:tc>
        <w:tc>
          <w:tcPr>
            <w:tcW w:w="4200" w:type="dxa"/>
            <w:tcBorders>
              <w:top w:val="single" w:sz="4" w:space="0" w:color="auto"/>
              <w:left w:val="single" w:sz="4" w:space="0" w:color="auto"/>
              <w:bottom w:val="single" w:sz="4" w:space="0" w:color="auto"/>
              <w:right w:val="single" w:sz="4" w:space="0" w:color="auto"/>
            </w:tcBorders>
            <w:shd w:val="clear" w:color="auto" w:fill="E6E6E6"/>
          </w:tcPr>
          <w:p w14:paraId="70603962"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 xml:space="preserve">If </w:t>
            </w:r>
            <w:r w:rsidRPr="00837F64">
              <w:rPr>
                <w:rFonts w:cs="Arial"/>
                <w:b/>
                <w:sz w:val="28"/>
                <w:szCs w:val="28"/>
              </w:rPr>
              <w:t>No</w:t>
            </w:r>
            <w:r w:rsidRPr="00837F64">
              <w:rPr>
                <w:rFonts w:cs="Arial"/>
                <w:sz w:val="28"/>
                <w:szCs w:val="28"/>
              </w:rPr>
              <w:t>, provide reasons</w:t>
            </w:r>
          </w:p>
        </w:tc>
      </w:tr>
      <w:tr w:rsidR="006C4E50" w:rsidRPr="00837F64" w14:paraId="659A50B8"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58A5D4E5"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Religious belief</w:t>
            </w:r>
          </w:p>
        </w:tc>
        <w:tc>
          <w:tcPr>
            <w:tcW w:w="4140" w:type="dxa"/>
            <w:tcBorders>
              <w:top w:val="single" w:sz="4" w:space="0" w:color="auto"/>
              <w:left w:val="single" w:sz="4" w:space="0" w:color="auto"/>
              <w:bottom w:val="single" w:sz="4" w:space="0" w:color="auto"/>
              <w:right w:val="single" w:sz="4" w:space="0" w:color="auto"/>
            </w:tcBorders>
          </w:tcPr>
          <w:p w14:paraId="6CE53F23" w14:textId="77777777" w:rsidR="006C4E50" w:rsidRPr="00837F64" w:rsidRDefault="006C4E50" w:rsidP="00837F64">
            <w:pPr>
              <w:autoSpaceDE w:val="0"/>
              <w:autoSpaceDN w:val="0"/>
              <w:adjustRightInd w:val="0"/>
              <w:spacing w:before="240" w:after="240"/>
              <w:rPr>
                <w:rFonts w:cs="Arial"/>
                <w:sz w:val="28"/>
                <w:szCs w:val="28"/>
              </w:rPr>
            </w:pPr>
          </w:p>
        </w:tc>
        <w:tc>
          <w:tcPr>
            <w:tcW w:w="4200" w:type="dxa"/>
            <w:tcBorders>
              <w:top w:val="single" w:sz="4" w:space="0" w:color="auto"/>
              <w:left w:val="single" w:sz="4" w:space="0" w:color="auto"/>
              <w:bottom w:val="single" w:sz="4" w:space="0" w:color="auto"/>
              <w:right w:val="single" w:sz="4" w:space="0" w:color="auto"/>
            </w:tcBorders>
          </w:tcPr>
          <w:p w14:paraId="31B41BC6" w14:textId="19079CE0" w:rsidR="006C4E50" w:rsidRPr="00837F64" w:rsidRDefault="001A516C" w:rsidP="00D13124">
            <w:pPr>
              <w:autoSpaceDE w:val="0"/>
              <w:autoSpaceDN w:val="0"/>
              <w:adjustRightInd w:val="0"/>
              <w:spacing w:before="240" w:after="240"/>
              <w:rPr>
                <w:rFonts w:cs="Arial"/>
                <w:sz w:val="28"/>
                <w:szCs w:val="28"/>
              </w:rPr>
            </w:pPr>
            <w:r>
              <w:rPr>
                <w:rFonts w:cs="Arial"/>
                <w:sz w:val="28"/>
                <w:szCs w:val="28"/>
              </w:rPr>
              <w:t>No</w:t>
            </w:r>
            <w:r w:rsidR="00107DC4">
              <w:rPr>
                <w:rFonts w:cs="Arial"/>
                <w:sz w:val="28"/>
                <w:szCs w:val="28"/>
              </w:rPr>
              <w:t xml:space="preserve">, </w:t>
            </w:r>
            <w:r w:rsidR="00455154">
              <w:rPr>
                <w:rFonts w:cs="Arial"/>
                <w:sz w:val="28"/>
                <w:szCs w:val="28"/>
              </w:rPr>
              <w:t xml:space="preserve">the proposed baseline budget will present </w:t>
            </w:r>
            <w:r w:rsidR="007F3045">
              <w:rPr>
                <w:rFonts w:cs="Arial"/>
                <w:sz w:val="28"/>
                <w:szCs w:val="28"/>
              </w:rPr>
              <w:t xml:space="preserve">no </w:t>
            </w:r>
            <w:r w:rsidR="00455154">
              <w:rPr>
                <w:rFonts w:cs="Arial"/>
                <w:sz w:val="28"/>
                <w:szCs w:val="28"/>
              </w:rPr>
              <w:t>opportunities for promoting equality of opportunity, and is more likely to threaten positive action measures</w:t>
            </w:r>
            <w:r>
              <w:rPr>
                <w:rFonts w:cs="Arial"/>
                <w:sz w:val="28"/>
                <w:szCs w:val="28"/>
              </w:rPr>
              <w:t>.</w:t>
            </w:r>
          </w:p>
        </w:tc>
      </w:tr>
      <w:tr w:rsidR="001A516C" w:rsidRPr="00837F64" w14:paraId="38A4387A"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6C17A238" w14:textId="77777777" w:rsidR="001A516C" w:rsidRPr="00837F64" w:rsidRDefault="001A516C" w:rsidP="001A516C">
            <w:pPr>
              <w:autoSpaceDE w:val="0"/>
              <w:autoSpaceDN w:val="0"/>
              <w:adjustRightInd w:val="0"/>
              <w:spacing w:before="240" w:after="240"/>
              <w:rPr>
                <w:rFonts w:cs="Arial"/>
                <w:sz w:val="28"/>
                <w:szCs w:val="28"/>
              </w:rPr>
            </w:pPr>
            <w:r w:rsidRPr="00837F64">
              <w:rPr>
                <w:rFonts w:cs="Arial"/>
                <w:sz w:val="28"/>
                <w:szCs w:val="28"/>
              </w:rPr>
              <w:t xml:space="preserve">Political opinion </w:t>
            </w:r>
          </w:p>
        </w:tc>
        <w:tc>
          <w:tcPr>
            <w:tcW w:w="4140" w:type="dxa"/>
            <w:tcBorders>
              <w:top w:val="single" w:sz="4" w:space="0" w:color="auto"/>
              <w:left w:val="single" w:sz="4" w:space="0" w:color="auto"/>
              <w:bottom w:val="single" w:sz="4" w:space="0" w:color="auto"/>
              <w:right w:val="single" w:sz="4" w:space="0" w:color="auto"/>
            </w:tcBorders>
          </w:tcPr>
          <w:p w14:paraId="61B73674" w14:textId="77777777" w:rsidR="001A516C" w:rsidRPr="00837F64" w:rsidRDefault="001A516C" w:rsidP="001A516C">
            <w:pPr>
              <w:autoSpaceDE w:val="0"/>
              <w:autoSpaceDN w:val="0"/>
              <w:adjustRightInd w:val="0"/>
              <w:spacing w:before="240" w:after="240"/>
              <w:rPr>
                <w:rFonts w:cs="Arial"/>
                <w:sz w:val="28"/>
                <w:szCs w:val="28"/>
              </w:rPr>
            </w:pPr>
          </w:p>
        </w:tc>
        <w:tc>
          <w:tcPr>
            <w:tcW w:w="4200" w:type="dxa"/>
            <w:tcBorders>
              <w:top w:val="single" w:sz="4" w:space="0" w:color="auto"/>
              <w:left w:val="single" w:sz="4" w:space="0" w:color="auto"/>
              <w:bottom w:val="single" w:sz="4" w:space="0" w:color="auto"/>
              <w:right w:val="single" w:sz="4" w:space="0" w:color="auto"/>
            </w:tcBorders>
          </w:tcPr>
          <w:p w14:paraId="4CB0E093" w14:textId="5E36BC2C" w:rsidR="001A516C" w:rsidRPr="00837F64" w:rsidRDefault="007F3045" w:rsidP="001A516C">
            <w:pPr>
              <w:autoSpaceDE w:val="0"/>
              <w:autoSpaceDN w:val="0"/>
              <w:adjustRightInd w:val="0"/>
              <w:spacing w:before="240" w:after="240"/>
              <w:rPr>
                <w:rFonts w:cs="Arial"/>
                <w:sz w:val="28"/>
                <w:szCs w:val="28"/>
              </w:rPr>
            </w:pPr>
            <w:r w:rsidRPr="007F3045">
              <w:rPr>
                <w:rFonts w:cs="Arial"/>
                <w:sz w:val="28"/>
                <w:szCs w:val="28"/>
              </w:rPr>
              <w:t>No, the proposed baseline budget will present no opportunities for promoting equality of opportunity, and is more likely to threaten positive action measures.</w:t>
            </w:r>
          </w:p>
        </w:tc>
      </w:tr>
      <w:tr w:rsidR="00D13124" w:rsidRPr="00837F64" w14:paraId="03EB1626"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0F176854" w14:textId="77777777" w:rsidR="00D13124" w:rsidRPr="00837F64" w:rsidRDefault="00D13124" w:rsidP="001A516C">
            <w:pPr>
              <w:autoSpaceDE w:val="0"/>
              <w:autoSpaceDN w:val="0"/>
              <w:adjustRightInd w:val="0"/>
              <w:spacing w:before="240" w:after="240"/>
              <w:rPr>
                <w:rFonts w:cs="Arial"/>
                <w:sz w:val="28"/>
                <w:szCs w:val="28"/>
              </w:rPr>
            </w:pPr>
            <w:r w:rsidRPr="00837F64">
              <w:rPr>
                <w:rFonts w:cs="Arial"/>
                <w:sz w:val="28"/>
                <w:szCs w:val="28"/>
              </w:rPr>
              <w:t xml:space="preserve">Racial group </w:t>
            </w:r>
          </w:p>
        </w:tc>
        <w:tc>
          <w:tcPr>
            <w:tcW w:w="4140" w:type="dxa"/>
            <w:tcBorders>
              <w:top w:val="single" w:sz="4" w:space="0" w:color="auto"/>
              <w:left w:val="single" w:sz="4" w:space="0" w:color="auto"/>
              <w:bottom w:val="single" w:sz="4" w:space="0" w:color="auto"/>
              <w:right w:val="single" w:sz="4" w:space="0" w:color="auto"/>
            </w:tcBorders>
          </w:tcPr>
          <w:p w14:paraId="100A2759" w14:textId="77777777" w:rsidR="00D13124" w:rsidRPr="00837F64" w:rsidRDefault="00D13124" w:rsidP="001A516C">
            <w:pPr>
              <w:autoSpaceDE w:val="0"/>
              <w:autoSpaceDN w:val="0"/>
              <w:adjustRightInd w:val="0"/>
              <w:spacing w:before="240" w:after="240"/>
              <w:rPr>
                <w:rFonts w:cs="Arial"/>
                <w:sz w:val="28"/>
                <w:szCs w:val="28"/>
              </w:rPr>
            </w:pPr>
          </w:p>
        </w:tc>
        <w:tc>
          <w:tcPr>
            <w:tcW w:w="4200" w:type="dxa"/>
            <w:tcBorders>
              <w:top w:val="single" w:sz="4" w:space="0" w:color="auto"/>
              <w:left w:val="single" w:sz="4" w:space="0" w:color="auto"/>
              <w:bottom w:val="single" w:sz="4" w:space="0" w:color="auto"/>
              <w:right w:val="single" w:sz="4" w:space="0" w:color="auto"/>
            </w:tcBorders>
          </w:tcPr>
          <w:p w14:paraId="70944A16" w14:textId="530D3EA2" w:rsidR="00D13124" w:rsidRPr="00837F64" w:rsidRDefault="007F3045" w:rsidP="006A75E1">
            <w:pPr>
              <w:autoSpaceDE w:val="0"/>
              <w:autoSpaceDN w:val="0"/>
              <w:adjustRightInd w:val="0"/>
              <w:spacing w:before="240" w:after="240"/>
              <w:rPr>
                <w:rFonts w:cs="Arial"/>
                <w:sz w:val="28"/>
                <w:szCs w:val="28"/>
              </w:rPr>
            </w:pPr>
            <w:r w:rsidRPr="007F3045">
              <w:rPr>
                <w:rFonts w:cs="Arial"/>
                <w:sz w:val="28"/>
                <w:szCs w:val="28"/>
              </w:rPr>
              <w:t>No, the proposed baseline budget will present no opportunities for promoting equality of opportunity, and is more likely to threaten positive action measures.</w:t>
            </w:r>
          </w:p>
        </w:tc>
      </w:tr>
      <w:tr w:rsidR="00D13124" w:rsidRPr="00837F64" w14:paraId="391B7638"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6CBD4F7F" w14:textId="77777777" w:rsidR="00D13124" w:rsidRPr="00837F64" w:rsidRDefault="00D13124" w:rsidP="001A516C">
            <w:pPr>
              <w:autoSpaceDE w:val="0"/>
              <w:autoSpaceDN w:val="0"/>
              <w:adjustRightInd w:val="0"/>
              <w:spacing w:before="240" w:after="240"/>
              <w:rPr>
                <w:rFonts w:cs="Arial"/>
                <w:sz w:val="28"/>
                <w:szCs w:val="28"/>
              </w:rPr>
            </w:pPr>
            <w:r w:rsidRPr="00837F64">
              <w:rPr>
                <w:rFonts w:cs="Arial"/>
                <w:sz w:val="28"/>
                <w:szCs w:val="28"/>
              </w:rPr>
              <w:t>Age</w:t>
            </w:r>
            <w:r w:rsidRPr="00837F64">
              <w:rPr>
                <w:rFonts w:cs="Arial"/>
                <w:sz w:val="28"/>
                <w:szCs w:val="28"/>
              </w:rPr>
              <w:br/>
            </w:r>
          </w:p>
        </w:tc>
        <w:tc>
          <w:tcPr>
            <w:tcW w:w="4140" w:type="dxa"/>
            <w:tcBorders>
              <w:top w:val="single" w:sz="4" w:space="0" w:color="auto"/>
              <w:left w:val="single" w:sz="4" w:space="0" w:color="auto"/>
              <w:bottom w:val="single" w:sz="4" w:space="0" w:color="auto"/>
              <w:right w:val="single" w:sz="4" w:space="0" w:color="auto"/>
            </w:tcBorders>
          </w:tcPr>
          <w:p w14:paraId="359FB4F9" w14:textId="77777777" w:rsidR="00D13124" w:rsidRPr="00837F64" w:rsidRDefault="00D13124" w:rsidP="001A516C">
            <w:pPr>
              <w:autoSpaceDE w:val="0"/>
              <w:autoSpaceDN w:val="0"/>
              <w:adjustRightInd w:val="0"/>
              <w:spacing w:before="240" w:after="240"/>
              <w:rPr>
                <w:rFonts w:cs="Arial"/>
                <w:sz w:val="28"/>
                <w:szCs w:val="28"/>
              </w:rPr>
            </w:pPr>
          </w:p>
        </w:tc>
        <w:tc>
          <w:tcPr>
            <w:tcW w:w="4200" w:type="dxa"/>
            <w:tcBorders>
              <w:top w:val="single" w:sz="4" w:space="0" w:color="auto"/>
              <w:left w:val="single" w:sz="4" w:space="0" w:color="auto"/>
              <w:bottom w:val="single" w:sz="4" w:space="0" w:color="auto"/>
              <w:right w:val="single" w:sz="4" w:space="0" w:color="auto"/>
            </w:tcBorders>
          </w:tcPr>
          <w:p w14:paraId="4AEE756B" w14:textId="1F935CFE" w:rsidR="00D13124" w:rsidRPr="00837F64" w:rsidRDefault="007F3045" w:rsidP="006A75E1">
            <w:pPr>
              <w:autoSpaceDE w:val="0"/>
              <w:autoSpaceDN w:val="0"/>
              <w:adjustRightInd w:val="0"/>
              <w:spacing w:before="240" w:after="240"/>
              <w:rPr>
                <w:rFonts w:cs="Arial"/>
                <w:sz w:val="28"/>
                <w:szCs w:val="28"/>
              </w:rPr>
            </w:pPr>
            <w:r w:rsidRPr="007F3045">
              <w:rPr>
                <w:rFonts w:cs="Arial"/>
                <w:sz w:val="28"/>
                <w:szCs w:val="28"/>
              </w:rPr>
              <w:t>No, the proposed baseline budget will present no opportunities for promoting equality of opportunity, and is more likely to threaten positive action measures.</w:t>
            </w:r>
          </w:p>
        </w:tc>
      </w:tr>
      <w:tr w:rsidR="00107DC4" w:rsidRPr="00837F64" w14:paraId="0BBEBC6E"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6D930ED8" w14:textId="77777777" w:rsidR="00107DC4" w:rsidRPr="00837F64" w:rsidRDefault="00107DC4" w:rsidP="00107DC4">
            <w:pPr>
              <w:autoSpaceDE w:val="0"/>
              <w:autoSpaceDN w:val="0"/>
              <w:adjustRightInd w:val="0"/>
              <w:spacing w:before="240" w:after="240"/>
              <w:rPr>
                <w:rFonts w:cs="Arial"/>
                <w:sz w:val="28"/>
                <w:szCs w:val="28"/>
              </w:rPr>
            </w:pPr>
            <w:r w:rsidRPr="00837F64">
              <w:rPr>
                <w:rFonts w:cs="Arial"/>
                <w:sz w:val="28"/>
                <w:szCs w:val="28"/>
              </w:rPr>
              <w:t>Marital status</w:t>
            </w:r>
          </w:p>
        </w:tc>
        <w:tc>
          <w:tcPr>
            <w:tcW w:w="4140" w:type="dxa"/>
            <w:tcBorders>
              <w:top w:val="single" w:sz="4" w:space="0" w:color="auto"/>
              <w:left w:val="single" w:sz="4" w:space="0" w:color="auto"/>
              <w:bottom w:val="single" w:sz="4" w:space="0" w:color="auto"/>
              <w:right w:val="single" w:sz="4" w:space="0" w:color="auto"/>
            </w:tcBorders>
          </w:tcPr>
          <w:p w14:paraId="3DAD5FC4" w14:textId="77777777" w:rsidR="00107DC4" w:rsidRPr="00837F64" w:rsidRDefault="00107DC4" w:rsidP="00107DC4">
            <w:pPr>
              <w:autoSpaceDE w:val="0"/>
              <w:autoSpaceDN w:val="0"/>
              <w:adjustRightInd w:val="0"/>
              <w:spacing w:before="240" w:after="240"/>
              <w:rPr>
                <w:rFonts w:cs="Arial"/>
                <w:sz w:val="28"/>
                <w:szCs w:val="28"/>
              </w:rPr>
            </w:pPr>
          </w:p>
        </w:tc>
        <w:tc>
          <w:tcPr>
            <w:tcW w:w="4200" w:type="dxa"/>
            <w:tcBorders>
              <w:top w:val="single" w:sz="4" w:space="0" w:color="auto"/>
              <w:left w:val="single" w:sz="4" w:space="0" w:color="auto"/>
              <w:bottom w:val="single" w:sz="4" w:space="0" w:color="auto"/>
              <w:right w:val="single" w:sz="4" w:space="0" w:color="auto"/>
            </w:tcBorders>
          </w:tcPr>
          <w:p w14:paraId="3F3FC03D" w14:textId="1B62D926" w:rsidR="00107DC4" w:rsidRPr="00837F64" w:rsidRDefault="007F3045" w:rsidP="00107DC4">
            <w:pPr>
              <w:autoSpaceDE w:val="0"/>
              <w:autoSpaceDN w:val="0"/>
              <w:adjustRightInd w:val="0"/>
              <w:spacing w:before="240" w:after="240"/>
              <w:rPr>
                <w:rFonts w:cs="Arial"/>
                <w:sz w:val="28"/>
                <w:szCs w:val="28"/>
              </w:rPr>
            </w:pPr>
            <w:r w:rsidRPr="007F3045">
              <w:rPr>
                <w:rFonts w:cs="Arial"/>
                <w:sz w:val="28"/>
                <w:szCs w:val="28"/>
              </w:rPr>
              <w:t>No, the proposed baseline budget will present no opportunities for promoting equality of opportunity, and is more likely to threaten positive action measures.</w:t>
            </w:r>
          </w:p>
        </w:tc>
      </w:tr>
      <w:tr w:rsidR="00107DC4" w:rsidRPr="00837F64" w14:paraId="2A4DC1F3"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2F4F7A64" w14:textId="77777777" w:rsidR="00107DC4" w:rsidRPr="00837F64" w:rsidRDefault="00107DC4" w:rsidP="00107DC4">
            <w:pPr>
              <w:autoSpaceDE w:val="0"/>
              <w:autoSpaceDN w:val="0"/>
              <w:adjustRightInd w:val="0"/>
              <w:spacing w:before="240" w:after="240"/>
              <w:rPr>
                <w:rFonts w:cs="Arial"/>
                <w:sz w:val="28"/>
                <w:szCs w:val="28"/>
              </w:rPr>
            </w:pPr>
            <w:r w:rsidRPr="00837F64">
              <w:rPr>
                <w:rFonts w:cs="Arial"/>
                <w:sz w:val="28"/>
                <w:szCs w:val="28"/>
              </w:rPr>
              <w:lastRenderedPageBreak/>
              <w:t>Sexual orientation</w:t>
            </w:r>
          </w:p>
        </w:tc>
        <w:tc>
          <w:tcPr>
            <w:tcW w:w="4140" w:type="dxa"/>
            <w:tcBorders>
              <w:top w:val="single" w:sz="4" w:space="0" w:color="auto"/>
              <w:left w:val="single" w:sz="4" w:space="0" w:color="auto"/>
              <w:bottom w:val="single" w:sz="4" w:space="0" w:color="auto"/>
              <w:right w:val="single" w:sz="4" w:space="0" w:color="auto"/>
            </w:tcBorders>
          </w:tcPr>
          <w:p w14:paraId="17170B2C" w14:textId="77777777" w:rsidR="00107DC4" w:rsidRPr="00837F64" w:rsidRDefault="00107DC4" w:rsidP="00107DC4">
            <w:pPr>
              <w:autoSpaceDE w:val="0"/>
              <w:autoSpaceDN w:val="0"/>
              <w:adjustRightInd w:val="0"/>
              <w:spacing w:before="240" w:after="240"/>
              <w:rPr>
                <w:rFonts w:cs="Arial"/>
                <w:sz w:val="28"/>
                <w:szCs w:val="28"/>
              </w:rPr>
            </w:pPr>
          </w:p>
        </w:tc>
        <w:tc>
          <w:tcPr>
            <w:tcW w:w="4200" w:type="dxa"/>
            <w:tcBorders>
              <w:top w:val="single" w:sz="4" w:space="0" w:color="auto"/>
              <w:left w:val="single" w:sz="4" w:space="0" w:color="auto"/>
              <w:bottom w:val="single" w:sz="4" w:space="0" w:color="auto"/>
              <w:right w:val="single" w:sz="4" w:space="0" w:color="auto"/>
            </w:tcBorders>
          </w:tcPr>
          <w:p w14:paraId="6A145D57" w14:textId="06AE0968" w:rsidR="00107DC4" w:rsidRPr="00837F64" w:rsidRDefault="007F3045" w:rsidP="00107DC4">
            <w:pPr>
              <w:autoSpaceDE w:val="0"/>
              <w:autoSpaceDN w:val="0"/>
              <w:adjustRightInd w:val="0"/>
              <w:spacing w:before="240" w:after="240"/>
              <w:rPr>
                <w:rFonts w:cs="Arial"/>
                <w:sz w:val="28"/>
                <w:szCs w:val="28"/>
              </w:rPr>
            </w:pPr>
            <w:r w:rsidRPr="007F3045">
              <w:rPr>
                <w:rFonts w:cs="Arial"/>
                <w:sz w:val="28"/>
                <w:szCs w:val="28"/>
              </w:rPr>
              <w:t>No, the proposed baseline budget will present no opportunities for promoting equality of opportunity, and is more likely to threaten positive action measures.</w:t>
            </w:r>
          </w:p>
        </w:tc>
      </w:tr>
      <w:tr w:rsidR="00107DC4" w:rsidRPr="00837F64" w14:paraId="4FB168AB"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04165DF9" w14:textId="77777777" w:rsidR="00107DC4" w:rsidRPr="00837F64" w:rsidRDefault="00107DC4" w:rsidP="00107DC4">
            <w:pPr>
              <w:autoSpaceDE w:val="0"/>
              <w:autoSpaceDN w:val="0"/>
              <w:adjustRightInd w:val="0"/>
              <w:spacing w:before="240" w:after="240"/>
              <w:rPr>
                <w:rFonts w:cs="Arial"/>
                <w:sz w:val="28"/>
                <w:szCs w:val="28"/>
              </w:rPr>
            </w:pPr>
            <w:r w:rsidRPr="00837F64">
              <w:rPr>
                <w:rFonts w:cs="Arial"/>
                <w:sz w:val="28"/>
                <w:szCs w:val="28"/>
              </w:rPr>
              <w:t xml:space="preserve">Men and women generally </w:t>
            </w:r>
          </w:p>
        </w:tc>
        <w:tc>
          <w:tcPr>
            <w:tcW w:w="4140" w:type="dxa"/>
            <w:tcBorders>
              <w:top w:val="single" w:sz="4" w:space="0" w:color="auto"/>
              <w:left w:val="single" w:sz="4" w:space="0" w:color="auto"/>
              <w:bottom w:val="single" w:sz="4" w:space="0" w:color="auto"/>
              <w:right w:val="single" w:sz="4" w:space="0" w:color="auto"/>
            </w:tcBorders>
          </w:tcPr>
          <w:p w14:paraId="691FD300" w14:textId="77777777" w:rsidR="00107DC4" w:rsidRPr="00837F64" w:rsidRDefault="00107DC4" w:rsidP="00107DC4">
            <w:pPr>
              <w:autoSpaceDE w:val="0"/>
              <w:autoSpaceDN w:val="0"/>
              <w:adjustRightInd w:val="0"/>
              <w:spacing w:before="240" w:after="240"/>
              <w:rPr>
                <w:rFonts w:cs="Arial"/>
                <w:sz w:val="28"/>
                <w:szCs w:val="28"/>
              </w:rPr>
            </w:pPr>
          </w:p>
        </w:tc>
        <w:tc>
          <w:tcPr>
            <w:tcW w:w="4200" w:type="dxa"/>
            <w:tcBorders>
              <w:top w:val="single" w:sz="4" w:space="0" w:color="auto"/>
              <w:left w:val="single" w:sz="4" w:space="0" w:color="auto"/>
              <w:bottom w:val="single" w:sz="4" w:space="0" w:color="auto"/>
              <w:right w:val="single" w:sz="4" w:space="0" w:color="auto"/>
            </w:tcBorders>
          </w:tcPr>
          <w:p w14:paraId="04EE9406" w14:textId="4071144B" w:rsidR="00107DC4" w:rsidRPr="00837F64" w:rsidRDefault="007F3045" w:rsidP="00107DC4">
            <w:pPr>
              <w:autoSpaceDE w:val="0"/>
              <w:autoSpaceDN w:val="0"/>
              <w:adjustRightInd w:val="0"/>
              <w:spacing w:before="240" w:after="240"/>
              <w:rPr>
                <w:rFonts w:cs="Arial"/>
                <w:sz w:val="28"/>
                <w:szCs w:val="28"/>
              </w:rPr>
            </w:pPr>
            <w:r w:rsidRPr="007F3045">
              <w:rPr>
                <w:rFonts w:cs="Arial"/>
                <w:sz w:val="28"/>
                <w:szCs w:val="28"/>
              </w:rPr>
              <w:t>No, the proposed baseline budget will present no opportunities for promoting equality of opportunity, and is more likely to threaten positive action measures.</w:t>
            </w:r>
          </w:p>
        </w:tc>
      </w:tr>
      <w:tr w:rsidR="00107DC4" w:rsidRPr="00837F64" w14:paraId="242C0819"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640954B1" w14:textId="77777777" w:rsidR="00107DC4" w:rsidRPr="00837F64" w:rsidRDefault="00107DC4" w:rsidP="00107DC4">
            <w:pPr>
              <w:autoSpaceDE w:val="0"/>
              <w:autoSpaceDN w:val="0"/>
              <w:adjustRightInd w:val="0"/>
              <w:spacing w:before="240" w:after="240"/>
              <w:rPr>
                <w:rFonts w:cs="Arial"/>
                <w:sz w:val="28"/>
                <w:szCs w:val="28"/>
              </w:rPr>
            </w:pPr>
            <w:r w:rsidRPr="00837F64">
              <w:rPr>
                <w:rFonts w:cs="Arial"/>
                <w:sz w:val="28"/>
                <w:szCs w:val="28"/>
              </w:rPr>
              <w:t>Disability</w:t>
            </w:r>
            <w:r w:rsidRPr="00837F64">
              <w:rPr>
                <w:rFonts w:cs="Arial"/>
                <w:sz w:val="28"/>
                <w:szCs w:val="28"/>
              </w:rPr>
              <w:br/>
            </w:r>
          </w:p>
        </w:tc>
        <w:tc>
          <w:tcPr>
            <w:tcW w:w="4140" w:type="dxa"/>
            <w:tcBorders>
              <w:top w:val="single" w:sz="4" w:space="0" w:color="auto"/>
              <w:left w:val="single" w:sz="4" w:space="0" w:color="auto"/>
              <w:bottom w:val="single" w:sz="4" w:space="0" w:color="auto"/>
              <w:right w:val="single" w:sz="4" w:space="0" w:color="auto"/>
            </w:tcBorders>
          </w:tcPr>
          <w:p w14:paraId="5502EBB5" w14:textId="77777777" w:rsidR="00107DC4" w:rsidRPr="00837F64" w:rsidRDefault="00107DC4" w:rsidP="00107DC4">
            <w:pPr>
              <w:autoSpaceDE w:val="0"/>
              <w:autoSpaceDN w:val="0"/>
              <w:adjustRightInd w:val="0"/>
              <w:spacing w:before="240" w:after="240"/>
              <w:rPr>
                <w:rFonts w:cs="Arial"/>
                <w:sz w:val="28"/>
                <w:szCs w:val="28"/>
              </w:rPr>
            </w:pPr>
          </w:p>
        </w:tc>
        <w:tc>
          <w:tcPr>
            <w:tcW w:w="4200" w:type="dxa"/>
            <w:tcBorders>
              <w:top w:val="single" w:sz="4" w:space="0" w:color="auto"/>
              <w:left w:val="single" w:sz="4" w:space="0" w:color="auto"/>
              <w:bottom w:val="single" w:sz="4" w:space="0" w:color="auto"/>
              <w:right w:val="single" w:sz="4" w:space="0" w:color="auto"/>
            </w:tcBorders>
          </w:tcPr>
          <w:p w14:paraId="6C195DB0" w14:textId="08E25054" w:rsidR="00107DC4" w:rsidRPr="00837F64" w:rsidRDefault="007F3045" w:rsidP="00107DC4">
            <w:pPr>
              <w:autoSpaceDE w:val="0"/>
              <w:autoSpaceDN w:val="0"/>
              <w:adjustRightInd w:val="0"/>
              <w:spacing w:before="240" w:after="240"/>
              <w:rPr>
                <w:rFonts w:cs="Arial"/>
                <w:sz w:val="28"/>
                <w:szCs w:val="28"/>
              </w:rPr>
            </w:pPr>
            <w:r w:rsidRPr="007F3045">
              <w:rPr>
                <w:rFonts w:cs="Arial"/>
                <w:sz w:val="28"/>
                <w:szCs w:val="28"/>
              </w:rPr>
              <w:t>No, the proposed baseline budget will present no opportunities for promoting equality of opportunity, and is more likely to threaten positive action measures.</w:t>
            </w:r>
          </w:p>
        </w:tc>
      </w:tr>
      <w:tr w:rsidR="001A516C" w:rsidRPr="00837F64" w14:paraId="1EF4FFC5" w14:textId="77777777" w:rsidTr="00107DC4">
        <w:tc>
          <w:tcPr>
            <w:tcW w:w="1728" w:type="dxa"/>
            <w:tcBorders>
              <w:top w:val="single" w:sz="4" w:space="0" w:color="auto"/>
              <w:left w:val="single" w:sz="4" w:space="0" w:color="auto"/>
              <w:bottom w:val="single" w:sz="4" w:space="0" w:color="auto"/>
              <w:right w:val="single" w:sz="4" w:space="0" w:color="auto"/>
            </w:tcBorders>
            <w:shd w:val="clear" w:color="auto" w:fill="E6E6E6"/>
          </w:tcPr>
          <w:p w14:paraId="483F74EF" w14:textId="77777777" w:rsidR="001A516C" w:rsidRPr="00837F64" w:rsidRDefault="001A516C" w:rsidP="001A516C">
            <w:pPr>
              <w:autoSpaceDE w:val="0"/>
              <w:autoSpaceDN w:val="0"/>
              <w:adjustRightInd w:val="0"/>
              <w:spacing w:before="240" w:after="240"/>
              <w:rPr>
                <w:rFonts w:cs="Arial"/>
                <w:sz w:val="28"/>
                <w:szCs w:val="28"/>
              </w:rPr>
            </w:pPr>
            <w:r w:rsidRPr="00837F64">
              <w:rPr>
                <w:rFonts w:cs="Arial"/>
                <w:sz w:val="28"/>
                <w:szCs w:val="28"/>
              </w:rPr>
              <w:t>Dependants</w:t>
            </w:r>
          </w:p>
        </w:tc>
        <w:tc>
          <w:tcPr>
            <w:tcW w:w="4140" w:type="dxa"/>
            <w:tcBorders>
              <w:top w:val="single" w:sz="4" w:space="0" w:color="auto"/>
              <w:left w:val="single" w:sz="4" w:space="0" w:color="auto"/>
              <w:bottom w:val="single" w:sz="4" w:space="0" w:color="auto"/>
              <w:right w:val="single" w:sz="4" w:space="0" w:color="auto"/>
            </w:tcBorders>
          </w:tcPr>
          <w:p w14:paraId="4575C419" w14:textId="77777777" w:rsidR="001A516C" w:rsidRPr="00837F64" w:rsidRDefault="001A516C" w:rsidP="001A516C">
            <w:pPr>
              <w:autoSpaceDE w:val="0"/>
              <w:autoSpaceDN w:val="0"/>
              <w:adjustRightInd w:val="0"/>
              <w:spacing w:before="240" w:after="240"/>
              <w:rPr>
                <w:rFonts w:cs="Arial"/>
                <w:sz w:val="28"/>
                <w:szCs w:val="28"/>
              </w:rPr>
            </w:pPr>
          </w:p>
        </w:tc>
        <w:tc>
          <w:tcPr>
            <w:tcW w:w="4200" w:type="dxa"/>
            <w:tcBorders>
              <w:top w:val="single" w:sz="4" w:space="0" w:color="auto"/>
              <w:left w:val="single" w:sz="4" w:space="0" w:color="auto"/>
              <w:bottom w:val="single" w:sz="4" w:space="0" w:color="auto"/>
              <w:right w:val="single" w:sz="4" w:space="0" w:color="auto"/>
            </w:tcBorders>
          </w:tcPr>
          <w:p w14:paraId="51F0D3AA" w14:textId="6A033287" w:rsidR="001A516C" w:rsidRPr="00837F64" w:rsidRDefault="007F3045" w:rsidP="001A516C">
            <w:pPr>
              <w:autoSpaceDE w:val="0"/>
              <w:autoSpaceDN w:val="0"/>
              <w:adjustRightInd w:val="0"/>
              <w:spacing w:before="240" w:after="240"/>
              <w:rPr>
                <w:rFonts w:cs="Arial"/>
                <w:sz w:val="28"/>
                <w:szCs w:val="28"/>
              </w:rPr>
            </w:pPr>
            <w:r w:rsidRPr="007F3045">
              <w:rPr>
                <w:rFonts w:cs="Arial"/>
                <w:sz w:val="28"/>
                <w:szCs w:val="28"/>
              </w:rPr>
              <w:t>No, the proposed baseline budget will present no opportunities for promoting equality of opportunity, and is more likely to threaten positive action measures.</w:t>
            </w:r>
          </w:p>
        </w:tc>
      </w:tr>
    </w:tbl>
    <w:p w14:paraId="3804E855" w14:textId="77777777" w:rsidR="006C4E50" w:rsidRDefault="006C4E50" w:rsidP="006C4E50">
      <w:r>
        <w:br w:type="page"/>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5220"/>
        <w:gridCol w:w="3120"/>
      </w:tblGrid>
      <w:tr w:rsidR="006C4E50" w:rsidRPr="00837F64" w14:paraId="706A4694" w14:textId="77777777" w:rsidTr="002E34C7">
        <w:tc>
          <w:tcPr>
            <w:tcW w:w="10068" w:type="dxa"/>
            <w:gridSpan w:val="3"/>
            <w:shd w:val="clear" w:color="auto" w:fill="C0C0C0"/>
          </w:tcPr>
          <w:p w14:paraId="2F51CE76" w14:textId="77777777" w:rsidR="006C4E50" w:rsidRPr="00837F64" w:rsidRDefault="006C4E50" w:rsidP="00837F64">
            <w:pPr>
              <w:autoSpaceDE w:val="0"/>
              <w:autoSpaceDN w:val="0"/>
              <w:adjustRightInd w:val="0"/>
              <w:spacing w:before="120" w:after="120"/>
              <w:ind w:left="357" w:hanging="357"/>
              <w:rPr>
                <w:rFonts w:cs="Arial"/>
                <w:sz w:val="28"/>
                <w:szCs w:val="28"/>
              </w:rPr>
            </w:pPr>
            <w:r>
              <w:lastRenderedPageBreak/>
              <w:br w:type="page"/>
            </w:r>
            <w:r w:rsidRPr="00837F64">
              <w:rPr>
                <w:rFonts w:cs="Arial"/>
                <w:sz w:val="28"/>
                <w:szCs w:val="28"/>
              </w:rPr>
              <w:br w:type="page"/>
            </w:r>
            <w:r w:rsidRPr="00837F64">
              <w:rPr>
                <w:rFonts w:cs="Arial"/>
                <w:b/>
                <w:sz w:val="28"/>
                <w:szCs w:val="28"/>
              </w:rPr>
              <w:t>3</w:t>
            </w:r>
            <w:r w:rsidRPr="00837F64">
              <w:rPr>
                <w:rFonts w:cs="Arial"/>
                <w:sz w:val="28"/>
                <w:szCs w:val="28"/>
              </w:rPr>
              <w:t xml:space="preserve">  </w:t>
            </w:r>
            <w:r w:rsidRPr="00837F64">
              <w:rPr>
                <w:rFonts w:cs="Arial"/>
                <w:sz w:val="28"/>
                <w:szCs w:val="28"/>
              </w:rPr>
              <w:tab/>
              <w:t>To what extent is the policy likely to impact on good relations between people of different religious belief, political opinion or racial group? minor/major/none</w:t>
            </w:r>
          </w:p>
        </w:tc>
      </w:tr>
      <w:tr w:rsidR="006C4E50" w:rsidRPr="00837F64" w14:paraId="06178EA8" w14:textId="77777777" w:rsidTr="002E34C7">
        <w:tc>
          <w:tcPr>
            <w:tcW w:w="1728" w:type="dxa"/>
            <w:shd w:val="clear" w:color="auto" w:fill="E6E6E6"/>
          </w:tcPr>
          <w:p w14:paraId="38228112"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 xml:space="preserve">Good relations category </w:t>
            </w:r>
          </w:p>
        </w:tc>
        <w:tc>
          <w:tcPr>
            <w:tcW w:w="5220" w:type="dxa"/>
            <w:shd w:val="clear" w:color="auto" w:fill="E6E6E6"/>
          </w:tcPr>
          <w:p w14:paraId="1EBE5932"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 xml:space="preserve">Details of policy impact   </w:t>
            </w:r>
          </w:p>
        </w:tc>
        <w:tc>
          <w:tcPr>
            <w:tcW w:w="3120" w:type="dxa"/>
            <w:shd w:val="clear" w:color="auto" w:fill="E6E6E6"/>
          </w:tcPr>
          <w:p w14:paraId="07709BD9" w14:textId="77777777" w:rsidR="006C4E50" w:rsidRPr="00837F64" w:rsidRDefault="006C4E50" w:rsidP="00837F64">
            <w:pPr>
              <w:autoSpaceDE w:val="0"/>
              <w:autoSpaceDN w:val="0"/>
              <w:adjustRightInd w:val="0"/>
              <w:spacing w:before="240" w:after="240"/>
              <w:ind w:right="-108"/>
              <w:rPr>
                <w:rFonts w:cs="Arial"/>
                <w:sz w:val="28"/>
                <w:szCs w:val="28"/>
              </w:rPr>
            </w:pPr>
            <w:r w:rsidRPr="00837F64">
              <w:rPr>
                <w:rFonts w:cs="Arial"/>
                <w:sz w:val="28"/>
                <w:szCs w:val="28"/>
              </w:rPr>
              <w:t xml:space="preserve">Level of impact minor/major/none </w:t>
            </w:r>
          </w:p>
        </w:tc>
      </w:tr>
      <w:tr w:rsidR="006C4E50" w:rsidRPr="00837F64" w14:paraId="13ED015C" w14:textId="77777777" w:rsidTr="002E34C7">
        <w:tc>
          <w:tcPr>
            <w:tcW w:w="1728" w:type="dxa"/>
            <w:shd w:val="clear" w:color="auto" w:fill="E6E6E6"/>
          </w:tcPr>
          <w:p w14:paraId="50C866B2"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Religious belief</w:t>
            </w:r>
          </w:p>
        </w:tc>
        <w:tc>
          <w:tcPr>
            <w:tcW w:w="5220" w:type="dxa"/>
          </w:tcPr>
          <w:p w14:paraId="49AB0715" w14:textId="77777777" w:rsidR="00AD7B0C" w:rsidRPr="00AD7B0C" w:rsidRDefault="002E34C7" w:rsidP="00837F64">
            <w:pPr>
              <w:autoSpaceDE w:val="0"/>
              <w:autoSpaceDN w:val="0"/>
              <w:adjustRightInd w:val="0"/>
              <w:spacing w:before="240" w:after="240"/>
              <w:rPr>
                <w:rFonts w:cs="Arial"/>
                <w:sz w:val="28"/>
                <w:szCs w:val="28"/>
              </w:rPr>
            </w:pPr>
            <w:r w:rsidRPr="00AD7B0C">
              <w:rPr>
                <w:rFonts w:cs="Arial"/>
                <w:sz w:val="28"/>
                <w:szCs w:val="28"/>
              </w:rPr>
              <w:t xml:space="preserve">Economic </w:t>
            </w:r>
            <w:r w:rsidR="00107DC4" w:rsidRPr="00AD7B0C">
              <w:rPr>
                <w:rFonts w:cs="Arial"/>
                <w:sz w:val="28"/>
                <w:szCs w:val="28"/>
              </w:rPr>
              <w:t>uncertainty</w:t>
            </w:r>
            <w:r w:rsidRPr="00AD7B0C">
              <w:rPr>
                <w:rFonts w:cs="Arial"/>
                <w:sz w:val="28"/>
                <w:szCs w:val="28"/>
              </w:rPr>
              <w:t xml:space="preserve"> </w:t>
            </w:r>
            <w:commentRangeStart w:id="10"/>
            <w:r w:rsidRPr="00AD7B0C">
              <w:rPr>
                <w:rFonts w:cs="Arial"/>
                <w:sz w:val="28"/>
                <w:szCs w:val="28"/>
              </w:rPr>
              <w:t>could act as a catalyst for sectarian strife.</w:t>
            </w:r>
          </w:p>
          <w:p w14:paraId="3318A630" w14:textId="57DEFF3E" w:rsidR="006C4E50" w:rsidRPr="00AD7B0C" w:rsidRDefault="00AD7B0C" w:rsidP="00837F64">
            <w:pPr>
              <w:autoSpaceDE w:val="0"/>
              <w:autoSpaceDN w:val="0"/>
              <w:adjustRightInd w:val="0"/>
              <w:spacing w:before="240" w:after="240"/>
              <w:rPr>
                <w:rFonts w:cs="Arial"/>
                <w:sz w:val="28"/>
                <w:szCs w:val="28"/>
              </w:rPr>
            </w:pPr>
            <w:r w:rsidRPr="00AD7B0C">
              <w:rPr>
                <w:sz w:val="28"/>
                <w:szCs w:val="28"/>
              </w:rPr>
              <w:t xml:space="preserve"> Across the social sciences, from research on the rise and fall of </w:t>
            </w:r>
            <w:proofErr w:type="spellStart"/>
            <w:r w:rsidRPr="00AD7B0C">
              <w:rPr>
                <w:sz w:val="28"/>
                <w:szCs w:val="28"/>
              </w:rPr>
              <w:t>anti-semitism</w:t>
            </w:r>
            <w:proofErr w:type="spellEnd"/>
            <w:r w:rsidRPr="00AD7B0C">
              <w:rPr>
                <w:sz w:val="28"/>
                <w:szCs w:val="28"/>
              </w:rPr>
              <w:t xml:space="preserve"> in Europe from the middle ages onwards, to studies on the correlation between the number of lynchings in the US and indices of economic prosperity (including the price of cotton), to racism/sectarianism and the growth of fascism during the depression years of the1930s, through to more recent work on right wing populism and racism, there has been a longstanding recognition that political opinions based on racial and sectarian divisions (extending to homophobia) have tended to thrive during periods of economic decline or uncertainty. More locally, Duncan Morow's comprehensive 2019 review, 'Sectarianism in Northern Ireland: A Review' (</w:t>
            </w:r>
            <w:hyperlink r:id="rId23" w:history="1">
              <w:r w:rsidRPr="00AD7B0C">
                <w:rPr>
                  <w:rStyle w:val="Hyperlink"/>
                  <w:sz w:val="28"/>
                  <w:szCs w:val="28"/>
                </w:rPr>
                <w:t>https://www.ulster.ac.uk/__data/assets/pdf_file/0016/410227/A-Review-Addressing-Sectarianism-in-Northern-Ireland_FINAL.pdf</w:t>
              </w:r>
            </w:hyperlink>
            <w:r w:rsidRPr="00AD7B0C">
              <w:rPr>
                <w:sz w:val="28"/>
                <w:szCs w:val="28"/>
              </w:rPr>
              <w:t xml:space="preserve">), makes clear this link. In his words (p.35), 'The high rates of economic inactivity and the high numbers of young people who are not employed or in education or training has the effect of reinforcing social and </w:t>
            </w:r>
            <w:r w:rsidRPr="00AD7B0C">
              <w:rPr>
                <w:sz w:val="28"/>
                <w:szCs w:val="28"/>
              </w:rPr>
              <w:lastRenderedPageBreak/>
              <w:t>economic divisions in Northern Ireland. The life chances, and outlook, of those in areas of high deprivation are likely to be very different to those in wealthier suburbs. Combined with political segregation this has a significant impact on change, and on approaches to both the past and the future.' 'Economic and health inequality are</w:t>
            </w:r>
            <w:r w:rsidRPr="00AD7B0C">
              <w:rPr>
                <w:sz w:val="28"/>
                <w:szCs w:val="28"/>
              </w:rPr>
              <w:br/>
              <w:t>persistent critical factors in understanding Northern Ireland politics. Over many decades, the poorest areas of the cities were at the forefront of political violence combining to leave a legacy of Multiple Deprivation which is still the dominant feature of the city landscape.'</w:t>
            </w:r>
            <w:r w:rsidR="002E34C7" w:rsidRPr="00AD7B0C">
              <w:rPr>
                <w:rFonts w:cs="Arial"/>
                <w:sz w:val="28"/>
                <w:szCs w:val="28"/>
              </w:rPr>
              <w:t xml:space="preserve"> </w:t>
            </w:r>
            <w:commentRangeEnd w:id="10"/>
            <w:r w:rsidR="006B420D" w:rsidRPr="00AD7B0C">
              <w:rPr>
                <w:rStyle w:val="CommentReference"/>
                <w:rFonts w:asciiTheme="minorHAnsi" w:eastAsiaTheme="minorHAnsi" w:hAnsiTheme="minorHAnsi" w:cstheme="minorBidi"/>
                <w:sz w:val="28"/>
                <w:szCs w:val="28"/>
              </w:rPr>
              <w:commentReference w:id="10"/>
            </w:r>
            <w:r>
              <w:rPr>
                <w:rFonts w:cs="Arial"/>
                <w:sz w:val="28"/>
                <w:szCs w:val="28"/>
              </w:rPr>
              <w:t xml:space="preserve"> </w:t>
            </w:r>
          </w:p>
        </w:tc>
        <w:tc>
          <w:tcPr>
            <w:tcW w:w="3120" w:type="dxa"/>
          </w:tcPr>
          <w:p w14:paraId="53AC4C03" w14:textId="77777777" w:rsidR="006C4E50" w:rsidRPr="00837F64" w:rsidRDefault="002E34C7" w:rsidP="00837F64">
            <w:pPr>
              <w:autoSpaceDE w:val="0"/>
              <w:autoSpaceDN w:val="0"/>
              <w:adjustRightInd w:val="0"/>
              <w:spacing w:before="240" w:after="240"/>
              <w:rPr>
                <w:rFonts w:cs="Arial"/>
                <w:sz w:val="28"/>
                <w:szCs w:val="28"/>
              </w:rPr>
            </w:pPr>
            <w:r>
              <w:rPr>
                <w:rFonts w:cs="Arial"/>
                <w:sz w:val="28"/>
                <w:szCs w:val="28"/>
              </w:rPr>
              <w:lastRenderedPageBreak/>
              <w:t>Minor (-</w:t>
            </w:r>
            <w:proofErr w:type="spellStart"/>
            <w:r>
              <w:rPr>
                <w:rFonts w:cs="Arial"/>
                <w:sz w:val="28"/>
                <w:szCs w:val="28"/>
              </w:rPr>
              <w:t>ve</w:t>
            </w:r>
            <w:proofErr w:type="spellEnd"/>
            <w:r>
              <w:rPr>
                <w:rFonts w:cs="Arial"/>
                <w:sz w:val="28"/>
                <w:szCs w:val="28"/>
              </w:rPr>
              <w:t>)</w:t>
            </w:r>
          </w:p>
        </w:tc>
      </w:tr>
      <w:tr w:rsidR="002E34C7" w:rsidRPr="00837F64" w14:paraId="0C087D4C" w14:textId="77777777" w:rsidTr="002E34C7">
        <w:tc>
          <w:tcPr>
            <w:tcW w:w="1728" w:type="dxa"/>
            <w:shd w:val="clear" w:color="auto" w:fill="E6E6E6"/>
          </w:tcPr>
          <w:p w14:paraId="0659D9FA" w14:textId="77777777" w:rsidR="002E34C7" w:rsidRPr="00837F64" w:rsidRDefault="002E34C7" w:rsidP="002E34C7">
            <w:pPr>
              <w:autoSpaceDE w:val="0"/>
              <w:autoSpaceDN w:val="0"/>
              <w:adjustRightInd w:val="0"/>
              <w:spacing w:before="240" w:after="240"/>
              <w:rPr>
                <w:rFonts w:cs="Arial"/>
                <w:sz w:val="28"/>
                <w:szCs w:val="28"/>
              </w:rPr>
            </w:pPr>
            <w:r w:rsidRPr="00837F64">
              <w:rPr>
                <w:rFonts w:cs="Arial"/>
                <w:sz w:val="28"/>
                <w:szCs w:val="28"/>
              </w:rPr>
              <w:t xml:space="preserve">Political opinion </w:t>
            </w:r>
          </w:p>
        </w:tc>
        <w:tc>
          <w:tcPr>
            <w:tcW w:w="5220" w:type="dxa"/>
          </w:tcPr>
          <w:p w14:paraId="400BFE19" w14:textId="7CB402E8" w:rsidR="002E34C7" w:rsidRPr="00837F64" w:rsidRDefault="00107DC4" w:rsidP="002E34C7">
            <w:pPr>
              <w:autoSpaceDE w:val="0"/>
              <w:autoSpaceDN w:val="0"/>
              <w:adjustRightInd w:val="0"/>
              <w:spacing w:before="240" w:after="240"/>
              <w:rPr>
                <w:rFonts w:cs="Arial"/>
                <w:sz w:val="28"/>
                <w:szCs w:val="28"/>
              </w:rPr>
            </w:pPr>
            <w:r>
              <w:rPr>
                <w:rFonts w:cs="Arial"/>
                <w:sz w:val="28"/>
                <w:szCs w:val="28"/>
              </w:rPr>
              <w:t xml:space="preserve">Economic uncertainty </w:t>
            </w:r>
            <w:commentRangeStart w:id="11"/>
            <w:r>
              <w:rPr>
                <w:rFonts w:cs="Arial"/>
                <w:sz w:val="28"/>
                <w:szCs w:val="28"/>
              </w:rPr>
              <w:t>could act as a catalyst for sectarian strife</w:t>
            </w:r>
            <w:commentRangeEnd w:id="11"/>
            <w:r w:rsidR="006B420D">
              <w:rPr>
                <w:rStyle w:val="CommentReference"/>
                <w:rFonts w:asciiTheme="minorHAnsi" w:eastAsiaTheme="minorHAnsi" w:hAnsiTheme="minorHAnsi" w:cstheme="minorBidi"/>
              </w:rPr>
              <w:commentReference w:id="11"/>
            </w:r>
            <w:r>
              <w:rPr>
                <w:rFonts w:cs="Arial"/>
                <w:sz w:val="28"/>
                <w:szCs w:val="28"/>
              </w:rPr>
              <w:t>.</w:t>
            </w:r>
            <w:r w:rsidR="00AD7B0C">
              <w:rPr>
                <w:rFonts w:cs="Arial"/>
                <w:sz w:val="28"/>
                <w:szCs w:val="28"/>
              </w:rPr>
              <w:t xml:space="preserve"> See comments above.</w:t>
            </w:r>
          </w:p>
        </w:tc>
        <w:tc>
          <w:tcPr>
            <w:tcW w:w="3120" w:type="dxa"/>
          </w:tcPr>
          <w:p w14:paraId="271FDA5A" w14:textId="77777777" w:rsidR="002E34C7" w:rsidRPr="00837F64" w:rsidRDefault="002E34C7" w:rsidP="002E34C7">
            <w:pPr>
              <w:autoSpaceDE w:val="0"/>
              <w:autoSpaceDN w:val="0"/>
              <w:adjustRightInd w:val="0"/>
              <w:spacing w:before="240" w:after="240"/>
              <w:rPr>
                <w:rFonts w:cs="Arial"/>
                <w:sz w:val="28"/>
                <w:szCs w:val="28"/>
              </w:rPr>
            </w:pPr>
            <w:r>
              <w:rPr>
                <w:rFonts w:cs="Arial"/>
                <w:sz w:val="28"/>
                <w:szCs w:val="28"/>
              </w:rPr>
              <w:t>Minor (-</w:t>
            </w:r>
            <w:proofErr w:type="spellStart"/>
            <w:r>
              <w:rPr>
                <w:rFonts w:cs="Arial"/>
                <w:sz w:val="28"/>
                <w:szCs w:val="28"/>
              </w:rPr>
              <w:t>ve</w:t>
            </w:r>
            <w:proofErr w:type="spellEnd"/>
            <w:r>
              <w:rPr>
                <w:rFonts w:cs="Arial"/>
                <w:sz w:val="28"/>
                <w:szCs w:val="28"/>
              </w:rPr>
              <w:t>)</w:t>
            </w:r>
          </w:p>
        </w:tc>
      </w:tr>
      <w:tr w:rsidR="002E34C7" w:rsidRPr="00837F64" w14:paraId="2D9CB433" w14:textId="77777777" w:rsidTr="002E34C7">
        <w:tc>
          <w:tcPr>
            <w:tcW w:w="1728" w:type="dxa"/>
            <w:shd w:val="clear" w:color="auto" w:fill="E6E6E6"/>
          </w:tcPr>
          <w:p w14:paraId="3CBB94D7" w14:textId="77777777" w:rsidR="002E34C7" w:rsidRPr="00837F64" w:rsidRDefault="002E34C7" w:rsidP="002E34C7">
            <w:pPr>
              <w:autoSpaceDE w:val="0"/>
              <w:autoSpaceDN w:val="0"/>
              <w:adjustRightInd w:val="0"/>
              <w:spacing w:before="240" w:after="240"/>
              <w:rPr>
                <w:rFonts w:cs="Arial"/>
                <w:sz w:val="28"/>
                <w:szCs w:val="28"/>
              </w:rPr>
            </w:pPr>
            <w:r w:rsidRPr="00837F64">
              <w:rPr>
                <w:rFonts w:cs="Arial"/>
                <w:sz w:val="28"/>
                <w:szCs w:val="28"/>
              </w:rPr>
              <w:t>Racial group</w:t>
            </w:r>
          </w:p>
        </w:tc>
        <w:tc>
          <w:tcPr>
            <w:tcW w:w="5220" w:type="dxa"/>
          </w:tcPr>
          <w:p w14:paraId="0349D9D8" w14:textId="20F2C6C4" w:rsidR="002E34C7" w:rsidRPr="00837F64" w:rsidRDefault="002E34C7" w:rsidP="002E34C7">
            <w:pPr>
              <w:autoSpaceDE w:val="0"/>
              <w:autoSpaceDN w:val="0"/>
              <w:adjustRightInd w:val="0"/>
              <w:spacing w:before="240" w:after="240"/>
              <w:rPr>
                <w:rFonts w:cs="Arial"/>
                <w:sz w:val="28"/>
                <w:szCs w:val="28"/>
              </w:rPr>
            </w:pPr>
            <w:r>
              <w:rPr>
                <w:rFonts w:cs="Arial"/>
                <w:sz w:val="28"/>
                <w:szCs w:val="28"/>
              </w:rPr>
              <w:t xml:space="preserve">Adverse economic impact could </w:t>
            </w:r>
            <w:commentRangeStart w:id="12"/>
            <w:r>
              <w:rPr>
                <w:rFonts w:cs="Arial"/>
                <w:sz w:val="28"/>
                <w:szCs w:val="28"/>
              </w:rPr>
              <w:t xml:space="preserve">harm relations with </w:t>
            </w:r>
            <w:r w:rsidR="007F3045">
              <w:rPr>
                <w:rFonts w:cs="Arial"/>
                <w:sz w:val="28"/>
                <w:szCs w:val="28"/>
              </w:rPr>
              <w:t>minority ethnic and new</w:t>
            </w:r>
            <w:r>
              <w:rPr>
                <w:rFonts w:cs="Arial"/>
                <w:sz w:val="28"/>
                <w:szCs w:val="28"/>
              </w:rPr>
              <w:t xml:space="preserve"> communities.</w:t>
            </w:r>
            <w:commentRangeEnd w:id="12"/>
            <w:r w:rsidR="006B420D">
              <w:rPr>
                <w:rStyle w:val="CommentReference"/>
                <w:rFonts w:asciiTheme="minorHAnsi" w:eastAsiaTheme="minorHAnsi" w:hAnsiTheme="minorHAnsi" w:cstheme="minorBidi"/>
              </w:rPr>
              <w:commentReference w:id="12"/>
            </w:r>
            <w:r w:rsidR="00AD7B0C">
              <w:rPr>
                <w:rFonts w:cs="Arial"/>
                <w:sz w:val="28"/>
                <w:szCs w:val="28"/>
              </w:rPr>
              <w:t xml:space="preserve"> See comments above.</w:t>
            </w:r>
          </w:p>
        </w:tc>
        <w:tc>
          <w:tcPr>
            <w:tcW w:w="3120" w:type="dxa"/>
          </w:tcPr>
          <w:p w14:paraId="4336EFDC" w14:textId="77777777" w:rsidR="002E34C7" w:rsidRPr="00837F64" w:rsidRDefault="002E34C7" w:rsidP="002E34C7">
            <w:pPr>
              <w:autoSpaceDE w:val="0"/>
              <w:autoSpaceDN w:val="0"/>
              <w:adjustRightInd w:val="0"/>
              <w:spacing w:before="240" w:after="240"/>
              <w:rPr>
                <w:rFonts w:cs="Arial"/>
                <w:sz w:val="28"/>
                <w:szCs w:val="28"/>
              </w:rPr>
            </w:pPr>
            <w:r>
              <w:rPr>
                <w:rFonts w:cs="Arial"/>
                <w:sz w:val="28"/>
                <w:szCs w:val="28"/>
              </w:rPr>
              <w:t>Minor (-</w:t>
            </w:r>
            <w:proofErr w:type="spellStart"/>
            <w:r>
              <w:rPr>
                <w:rFonts w:cs="Arial"/>
                <w:sz w:val="28"/>
                <w:szCs w:val="28"/>
              </w:rPr>
              <w:t>ve</w:t>
            </w:r>
            <w:proofErr w:type="spellEnd"/>
            <w:r>
              <w:rPr>
                <w:rFonts w:cs="Arial"/>
                <w:sz w:val="28"/>
                <w:szCs w:val="28"/>
              </w:rPr>
              <w:t>)</w:t>
            </w:r>
          </w:p>
        </w:tc>
      </w:tr>
    </w:tbl>
    <w:p w14:paraId="6FB9DADF" w14:textId="77777777" w:rsidR="006C4E50" w:rsidRDefault="006C4E50" w:rsidP="006C4E50"/>
    <w:p w14:paraId="480E8EC1" w14:textId="77777777" w:rsidR="006C4E50" w:rsidRDefault="006C4E50" w:rsidP="006C4E50"/>
    <w:p w14:paraId="718751C2" w14:textId="77777777" w:rsidR="006C4E50" w:rsidRDefault="006C4E50" w:rsidP="006C4E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4140"/>
        <w:gridCol w:w="4200"/>
      </w:tblGrid>
      <w:tr w:rsidR="006C4E50" w:rsidRPr="00837F64" w14:paraId="31A2A279" w14:textId="77777777" w:rsidTr="002E34C7">
        <w:tc>
          <w:tcPr>
            <w:tcW w:w="10068" w:type="dxa"/>
            <w:gridSpan w:val="3"/>
            <w:shd w:val="clear" w:color="auto" w:fill="C0C0C0"/>
          </w:tcPr>
          <w:p w14:paraId="6F5882E6" w14:textId="77777777" w:rsidR="006C4E50" w:rsidRPr="00837F64" w:rsidRDefault="006C4E50" w:rsidP="00837F64">
            <w:pPr>
              <w:autoSpaceDE w:val="0"/>
              <w:autoSpaceDN w:val="0"/>
              <w:adjustRightInd w:val="0"/>
              <w:spacing w:before="120" w:after="120"/>
              <w:ind w:left="357" w:hanging="357"/>
              <w:rPr>
                <w:rFonts w:cs="Arial"/>
                <w:sz w:val="28"/>
                <w:szCs w:val="28"/>
              </w:rPr>
            </w:pPr>
            <w:r w:rsidRPr="00837F64">
              <w:rPr>
                <w:rFonts w:cs="Arial"/>
                <w:b/>
                <w:sz w:val="28"/>
                <w:szCs w:val="28"/>
              </w:rPr>
              <w:t>4</w:t>
            </w:r>
            <w:r w:rsidRPr="00837F64">
              <w:rPr>
                <w:rFonts w:cs="Arial"/>
                <w:sz w:val="28"/>
                <w:szCs w:val="28"/>
              </w:rPr>
              <w:t xml:space="preserve">  </w:t>
            </w:r>
            <w:r w:rsidRPr="00837F64">
              <w:rPr>
                <w:rFonts w:cs="Arial"/>
                <w:sz w:val="28"/>
                <w:szCs w:val="28"/>
              </w:rPr>
              <w:tab/>
              <w:t>Are there opportunities to better promote good relations between people of different religious belief, political opinion or racial group?</w:t>
            </w:r>
          </w:p>
        </w:tc>
      </w:tr>
      <w:tr w:rsidR="006C4E50" w:rsidRPr="00837F64" w14:paraId="200D2D16" w14:textId="77777777" w:rsidTr="002E34C7">
        <w:tc>
          <w:tcPr>
            <w:tcW w:w="1728" w:type="dxa"/>
            <w:shd w:val="clear" w:color="auto" w:fill="E6E6E6"/>
          </w:tcPr>
          <w:p w14:paraId="473FCB9B"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Good relations category</w:t>
            </w:r>
          </w:p>
        </w:tc>
        <w:tc>
          <w:tcPr>
            <w:tcW w:w="4140" w:type="dxa"/>
            <w:shd w:val="clear" w:color="auto" w:fill="E6E6E6"/>
          </w:tcPr>
          <w:p w14:paraId="7572D65E"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 xml:space="preserve">If </w:t>
            </w:r>
            <w:r w:rsidRPr="00837F64">
              <w:rPr>
                <w:rFonts w:cs="Arial"/>
                <w:b/>
                <w:sz w:val="28"/>
                <w:szCs w:val="28"/>
              </w:rPr>
              <w:t>Yes</w:t>
            </w:r>
            <w:r w:rsidRPr="00837F64">
              <w:rPr>
                <w:rFonts w:cs="Arial"/>
                <w:sz w:val="28"/>
                <w:szCs w:val="28"/>
              </w:rPr>
              <w:t xml:space="preserve">, provide details  </w:t>
            </w:r>
          </w:p>
        </w:tc>
        <w:tc>
          <w:tcPr>
            <w:tcW w:w="4200" w:type="dxa"/>
            <w:shd w:val="clear" w:color="auto" w:fill="E6E6E6"/>
          </w:tcPr>
          <w:p w14:paraId="5196C4EA"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 xml:space="preserve">If </w:t>
            </w:r>
            <w:r w:rsidRPr="00837F64">
              <w:rPr>
                <w:rFonts w:cs="Arial"/>
                <w:b/>
                <w:sz w:val="28"/>
                <w:szCs w:val="28"/>
              </w:rPr>
              <w:t>No</w:t>
            </w:r>
            <w:r w:rsidRPr="00837F64">
              <w:rPr>
                <w:rFonts w:cs="Arial"/>
                <w:sz w:val="28"/>
                <w:szCs w:val="28"/>
              </w:rPr>
              <w:t>, provide reasons</w:t>
            </w:r>
          </w:p>
        </w:tc>
      </w:tr>
      <w:tr w:rsidR="006C4E50" w:rsidRPr="00837F64" w14:paraId="1D73A4F8" w14:textId="77777777" w:rsidTr="002E34C7">
        <w:tc>
          <w:tcPr>
            <w:tcW w:w="1728" w:type="dxa"/>
            <w:shd w:val="clear" w:color="auto" w:fill="E6E6E6"/>
          </w:tcPr>
          <w:p w14:paraId="348763EF" w14:textId="77777777" w:rsidR="006C4E50" w:rsidRPr="00837F64" w:rsidRDefault="006C4E50" w:rsidP="00837F64">
            <w:pPr>
              <w:autoSpaceDE w:val="0"/>
              <w:autoSpaceDN w:val="0"/>
              <w:adjustRightInd w:val="0"/>
              <w:spacing w:before="240" w:after="240"/>
              <w:rPr>
                <w:rFonts w:cs="Arial"/>
                <w:sz w:val="28"/>
                <w:szCs w:val="28"/>
              </w:rPr>
            </w:pPr>
            <w:r w:rsidRPr="00837F64">
              <w:rPr>
                <w:rFonts w:cs="Arial"/>
                <w:sz w:val="28"/>
                <w:szCs w:val="28"/>
              </w:rPr>
              <w:t>Religious belief</w:t>
            </w:r>
          </w:p>
        </w:tc>
        <w:tc>
          <w:tcPr>
            <w:tcW w:w="4140" w:type="dxa"/>
          </w:tcPr>
          <w:p w14:paraId="4911917A" w14:textId="77777777" w:rsidR="006C4E50" w:rsidRPr="00837F64" w:rsidRDefault="006C4E50" w:rsidP="00837F64">
            <w:pPr>
              <w:autoSpaceDE w:val="0"/>
              <w:autoSpaceDN w:val="0"/>
              <w:adjustRightInd w:val="0"/>
              <w:spacing w:before="240" w:after="240"/>
              <w:rPr>
                <w:rFonts w:cs="Arial"/>
                <w:sz w:val="28"/>
                <w:szCs w:val="28"/>
              </w:rPr>
            </w:pPr>
          </w:p>
        </w:tc>
        <w:tc>
          <w:tcPr>
            <w:tcW w:w="4200" w:type="dxa"/>
          </w:tcPr>
          <w:p w14:paraId="4206E45D" w14:textId="71C72081" w:rsidR="006C4E50" w:rsidRPr="00837F64" w:rsidRDefault="00455154" w:rsidP="00837F64">
            <w:pPr>
              <w:autoSpaceDE w:val="0"/>
              <w:autoSpaceDN w:val="0"/>
              <w:adjustRightInd w:val="0"/>
              <w:spacing w:before="240" w:after="240"/>
              <w:rPr>
                <w:rFonts w:cs="Arial"/>
                <w:sz w:val="28"/>
                <w:szCs w:val="28"/>
              </w:rPr>
            </w:pPr>
            <w:r w:rsidRPr="00455154">
              <w:rPr>
                <w:rFonts w:cs="Arial"/>
                <w:sz w:val="28"/>
                <w:szCs w:val="28"/>
              </w:rPr>
              <w:t xml:space="preserve">No, the proposed budget will present few opportunities for promoting </w:t>
            </w:r>
            <w:r>
              <w:rPr>
                <w:rFonts w:cs="Arial"/>
                <w:sz w:val="28"/>
                <w:szCs w:val="28"/>
              </w:rPr>
              <w:t>good relations</w:t>
            </w:r>
            <w:r w:rsidRPr="00455154">
              <w:rPr>
                <w:rFonts w:cs="Arial"/>
                <w:sz w:val="28"/>
                <w:szCs w:val="28"/>
              </w:rPr>
              <w:t xml:space="preserve">, and </w:t>
            </w:r>
            <w:r w:rsidRPr="00455154">
              <w:rPr>
                <w:rFonts w:cs="Arial"/>
                <w:sz w:val="28"/>
                <w:szCs w:val="28"/>
              </w:rPr>
              <w:lastRenderedPageBreak/>
              <w:t xml:space="preserve">is more likely to </w:t>
            </w:r>
            <w:r>
              <w:rPr>
                <w:rFonts w:cs="Arial"/>
                <w:sz w:val="28"/>
                <w:szCs w:val="28"/>
              </w:rPr>
              <w:t>have an adverse effect</w:t>
            </w:r>
            <w:r w:rsidRPr="00455154">
              <w:rPr>
                <w:rFonts w:cs="Arial"/>
                <w:sz w:val="28"/>
                <w:szCs w:val="28"/>
              </w:rPr>
              <w:t>.</w:t>
            </w:r>
          </w:p>
        </w:tc>
      </w:tr>
      <w:tr w:rsidR="002E34C7" w:rsidRPr="00837F64" w14:paraId="3DB8B05B" w14:textId="77777777" w:rsidTr="002E34C7">
        <w:tc>
          <w:tcPr>
            <w:tcW w:w="1728" w:type="dxa"/>
            <w:shd w:val="clear" w:color="auto" w:fill="E6E6E6"/>
          </w:tcPr>
          <w:p w14:paraId="788C881F" w14:textId="77777777" w:rsidR="002E34C7" w:rsidRPr="00837F64" w:rsidRDefault="002E34C7" w:rsidP="002E34C7">
            <w:pPr>
              <w:autoSpaceDE w:val="0"/>
              <w:autoSpaceDN w:val="0"/>
              <w:adjustRightInd w:val="0"/>
              <w:spacing w:before="240" w:after="240"/>
              <w:rPr>
                <w:rFonts w:cs="Arial"/>
                <w:sz w:val="28"/>
                <w:szCs w:val="28"/>
              </w:rPr>
            </w:pPr>
            <w:r w:rsidRPr="00837F64">
              <w:rPr>
                <w:rFonts w:cs="Arial"/>
                <w:sz w:val="28"/>
                <w:szCs w:val="28"/>
              </w:rPr>
              <w:lastRenderedPageBreak/>
              <w:t xml:space="preserve">Political opinion </w:t>
            </w:r>
          </w:p>
        </w:tc>
        <w:tc>
          <w:tcPr>
            <w:tcW w:w="4140" w:type="dxa"/>
          </w:tcPr>
          <w:p w14:paraId="424EF8C9" w14:textId="77777777" w:rsidR="002E34C7" w:rsidRPr="00837F64" w:rsidRDefault="002E34C7" w:rsidP="002E34C7">
            <w:pPr>
              <w:autoSpaceDE w:val="0"/>
              <w:autoSpaceDN w:val="0"/>
              <w:adjustRightInd w:val="0"/>
              <w:spacing w:before="240" w:after="240"/>
              <w:rPr>
                <w:rFonts w:cs="Arial"/>
                <w:sz w:val="28"/>
                <w:szCs w:val="28"/>
              </w:rPr>
            </w:pPr>
          </w:p>
        </w:tc>
        <w:tc>
          <w:tcPr>
            <w:tcW w:w="4200" w:type="dxa"/>
          </w:tcPr>
          <w:p w14:paraId="6AAB03AB" w14:textId="7F36E195" w:rsidR="002E34C7" w:rsidRPr="00837F64" w:rsidRDefault="00455154" w:rsidP="002E34C7">
            <w:pPr>
              <w:autoSpaceDE w:val="0"/>
              <w:autoSpaceDN w:val="0"/>
              <w:adjustRightInd w:val="0"/>
              <w:spacing w:before="240" w:after="240"/>
              <w:rPr>
                <w:rFonts w:cs="Arial"/>
                <w:sz w:val="28"/>
                <w:szCs w:val="28"/>
              </w:rPr>
            </w:pPr>
            <w:r w:rsidRPr="00455154">
              <w:rPr>
                <w:rFonts w:cs="Arial"/>
                <w:sz w:val="28"/>
                <w:szCs w:val="28"/>
              </w:rPr>
              <w:t>No, the proposed budget will present few opportunities for promoting good relations, and is more likely to have an adverse effect.</w:t>
            </w:r>
          </w:p>
        </w:tc>
      </w:tr>
      <w:tr w:rsidR="002E34C7" w:rsidRPr="00837F64" w14:paraId="49562125" w14:textId="77777777" w:rsidTr="002E34C7">
        <w:tc>
          <w:tcPr>
            <w:tcW w:w="1728" w:type="dxa"/>
            <w:shd w:val="clear" w:color="auto" w:fill="E6E6E6"/>
          </w:tcPr>
          <w:p w14:paraId="715268D9" w14:textId="77777777" w:rsidR="002E34C7" w:rsidRPr="00837F64" w:rsidRDefault="002E34C7" w:rsidP="002E34C7">
            <w:pPr>
              <w:autoSpaceDE w:val="0"/>
              <w:autoSpaceDN w:val="0"/>
              <w:adjustRightInd w:val="0"/>
              <w:spacing w:before="240" w:after="240"/>
              <w:rPr>
                <w:rFonts w:cs="Arial"/>
                <w:sz w:val="28"/>
                <w:szCs w:val="28"/>
              </w:rPr>
            </w:pPr>
            <w:r w:rsidRPr="00837F64">
              <w:rPr>
                <w:rFonts w:cs="Arial"/>
                <w:sz w:val="28"/>
                <w:szCs w:val="28"/>
              </w:rPr>
              <w:t xml:space="preserve">Racial group </w:t>
            </w:r>
          </w:p>
        </w:tc>
        <w:tc>
          <w:tcPr>
            <w:tcW w:w="4140" w:type="dxa"/>
          </w:tcPr>
          <w:p w14:paraId="018D4C37" w14:textId="77777777" w:rsidR="002E34C7" w:rsidRPr="00837F64" w:rsidRDefault="002E34C7" w:rsidP="002E34C7">
            <w:pPr>
              <w:autoSpaceDE w:val="0"/>
              <w:autoSpaceDN w:val="0"/>
              <w:adjustRightInd w:val="0"/>
              <w:spacing w:before="240" w:after="240"/>
              <w:rPr>
                <w:rFonts w:cs="Arial"/>
                <w:sz w:val="28"/>
                <w:szCs w:val="28"/>
              </w:rPr>
            </w:pPr>
          </w:p>
        </w:tc>
        <w:tc>
          <w:tcPr>
            <w:tcW w:w="4200" w:type="dxa"/>
          </w:tcPr>
          <w:p w14:paraId="24B1855E" w14:textId="7779008B" w:rsidR="002E34C7" w:rsidRPr="00837F64" w:rsidRDefault="00455154" w:rsidP="002E34C7">
            <w:pPr>
              <w:autoSpaceDE w:val="0"/>
              <w:autoSpaceDN w:val="0"/>
              <w:adjustRightInd w:val="0"/>
              <w:spacing w:before="240" w:after="240"/>
              <w:rPr>
                <w:rFonts w:cs="Arial"/>
                <w:sz w:val="28"/>
                <w:szCs w:val="28"/>
              </w:rPr>
            </w:pPr>
            <w:r w:rsidRPr="00455154">
              <w:rPr>
                <w:rFonts w:cs="Arial"/>
                <w:sz w:val="28"/>
                <w:szCs w:val="28"/>
              </w:rPr>
              <w:t>No, the proposed budget will present few opportunities for promoting good relations, and is more likely to have an adverse effect.</w:t>
            </w:r>
          </w:p>
        </w:tc>
      </w:tr>
    </w:tbl>
    <w:p w14:paraId="08425E0D" w14:textId="77777777" w:rsidR="006C4E50" w:rsidRPr="00D91F4E" w:rsidRDefault="006C4E50" w:rsidP="006C4E50">
      <w:pPr>
        <w:rPr>
          <w:b/>
          <w:sz w:val="28"/>
          <w:szCs w:val="28"/>
        </w:rPr>
      </w:pPr>
      <w:r>
        <w:br w:type="page"/>
      </w:r>
      <w:r>
        <w:rPr>
          <w:b/>
          <w:sz w:val="28"/>
          <w:szCs w:val="28"/>
        </w:rPr>
        <w:lastRenderedPageBreak/>
        <w:t>Additional c</w:t>
      </w:r>
      <w:r w:rsidRPr="00D91F4E">
        <w:rPr>
          <w:b/>
          <w:sz w:val="28"/>
          <w:szCs w:val="28"/>
        </w:rPr>
        <w:t>onsiderations</w:t>
      </w:r>
    </w:p>
    <w:p w14:paraId="751ECD2B" w14:textId="77777777" w:rsidR="006C4E50" w:rsidRDefault="006C4E50" w:rsidP="006C4E50"/>
    <w:p w14:paraId="39B1F085" w14:textId="77777777" w:rsidR="006C4E50" w:rsidRPr="00F36F5D" w:rsidRDefault="006C4E50" w:rsidP="006C4E50">
      <w:pPr>
        <w:rPr>
          <w:rFonts w:cs="Arial"/>
          <w:b/>
          <w:sz w:val="28"/>
          <w:szCs w:val="28"/>
        </w:rPr>
      </w:pPr>
      <w:r>
        <w:rPr>
          <w:rFonts w:cs="Arial"/>
          <w:b/>
          <w:sz w:val="28"/>
          <w:szCs w:val="28"/>
        </w:rPr>
        <w:t>Multiple i</w:t>
      </w:r>
      <w:r w:rsidRPr="00F36F5D">
        <w:rPr>
          <w:rFonts w:cs="Arial"/>
          <w:b/>
          <w:sz w:val="28"/>
          <w:szCs w:val="28"/>
        </w:rPr>
        <w:t>dentity</w:t>
      </w:r>
    </w:p>
    <w:p w14:paraId="7A64E891" w14:textId="77777777" w:rsidR="006C4E50" w:rsidRDefault="006C4E50" w:rsidP="006C4E50">
      <w:pPr>
        <w:autoSpaceDE w:val="0"/>
        <w:autoSpaceDN w:val="0"/>
        <w:adjustRightInd w:val="0"/>
        <w:rPr>
          <w:rFonts w:cs="Arial"/>
          <w:sz w:val="28"/>
          <w:szCs w:val="28"/>
        </w:rPr>
      </w:pPr>
    </w:p>
    <w:p w14:paraId="0C3B031B" w14:textId="77777777" w:rsidR="006C4E50" w:rsidRDefault="006C4E50" w:rsidP="006C4E50">
      <w:pPr>
        <w:autoSpaceDE w:val="0"/>
        <w:autoSpaceDN w:val="0"/>
        <w:adjustRightInd w:val="0"/>
        <w:rPr>
          <w:rFonts w:cs="Arial"/>
          <w:sz w:val="28"/>
          <w:szCs w:val="28"/>
        </w:rPr>
      </w:pPr>
      <w:r w:rsidRPr="00FA0121">
        <w:rPr>
          <w:rFonts w:cs="Arial"/>
          <w:sz w:val="28"/>
          <w:szCs w:val="28"/>
        </w:rPr>
        <w:t xml:space="preserve">Generally speaking, people can fall into more than one </w:t>
      </w:r>
      <w:smartTag w:uri="urn:schemas-microsoft-com:office:smarttags" w:element="PersonName">
        <w:r w:rsidRPr="00FA0121">
          <w:rPr>
            <w:rFonts w:cs="Arial"/>
            <w:sz w:val="28"/>
            <w:szCs w:val="28"/>
          </w:rPr>
          <w:t>Section 75</w:t>
        </w:r>
      </w:smartTag>
      <w:r>
        <w:rPr>
          <w:rFonts w:cs="Arial"/>
          <w:sz w:val="28"/>
          <w:szCs w:val="28"/>
        </w:rPr>
        <w:t xml:space="preserve"> category.  </w:t>
      </w:r>
      <w:r w:rsidRPr="00FA0121">
        <w:rPr>
          <w:rFonts w:cs="Arial"/>
          <w:sz w:val="28"/>
          <w:szCs w:val="28"/>
        </w:rPr>
        <w:t>Taking this into consideration, are there any potential impacts of the policy/decision on people with</w:t>
      </w:r>
      <w:r>
        <w:rPr>
          <w:rFonts w:cs="Arial"/>
          <w:sz w:val="28"/>
          <w:szCs w:val="28"/>
        </w:rPr>
        <w:t xml:space="preserve"> multiple identities</w:t>
      </w:r>
      <w:r w:rsidRPr="00FA0121">
        <w:rPr>
          <w:rFonts w:cs="Arial"/>
          <w:sz w:val="28"/>
          <w:szCs w:val="28"/>
        </w:rPr>
        <w:t xml:space="preserve">?  </w:t>
      </w:r>
    </w:p>
    <w:p w14:paraId="4EF2E32C" w14:textId="77777777" w:rsidR="006C4E50" w:rsidRDefault="006C4E50" w:rsidP="006C4E50">
      <w:pPr>
        <w:autoSpaceDE w:val="0"/>
        <w:autoSpaceDN w:val="0"/>
        <w:adjustRightInd w:val="0"/>
        <w:ind w:right="-174"/>
        <w:rPr>
          <w:rFonts w:cs="Arial"/>
          <w:b/>
          <w:sz w:val="28"/>
          <w:szCs w:val="28"/>
        </w:rPr>
      </w:pPr>
      <w:r>
        <w:rPr>
          <w:rFonts w:cs="Arial"/>
          <w:sz w:val="28"/>
          <w:szCs w:val="28"/>
        </w:rPr>
        <w:t>(</w:t>
      </w:r>
      <w:r w:rsidRPr="00F36F5D">
        <w:rPr>
          <w:rFonts w:cs="Arial"/>
          <w:i/>
          <w:sz w:val="28"/>
          <w:szCs w:val="28"/>
        </w:rPr>
        <w:t>For example; disabled minority ethnic people; disabled women; young Protestant men; and young lesbians, gay and bisexual people).</w:t>
      </w:r>
      <w:r>
        <w:rPr>
          <w:rFonts w:cs="Arial"/>
          <w:b/>
          <w:sz w:val="28"/>
          <w:szCs w:val="28"/>
        </w:rPr>
        <w:t xml:space="preserve"> </w:t>
      </w:r>
    </w:p>
    <w:p w14:paraId="5701E9F2" w14:textId="77777777" w:rsidR="006C4E50" w:rsidRDefault="006C4E50" w:rsidP="006C4E50">
      <w:pPr>
        <w:autoSpaceDE w:val="0"/>
        <w:autoSpaceDN w:val="0"/>
        <w:adjustRightInd w:val="0"/>
        <w:rPr>
          <w:rFonts w:cs="Arial"/>
          <w:sz w:val="28"/>
          <w:szCs w:val="28"/>
        </w:rPr>
      </w:pPr>
    </w:p>
    <w:tbl>
      <w:tblPr>
        <w:tblW w:w="0" w:type="auto"/>
        <w:tblLook w:val="01E0" w:firstRow="1" w:lastRow="1" w:firstColumn="1" w:lastColumn="1" w:noHBand="0" w:noVBand="0"/>
      </w:tblPr>
      <w:tblGrid>
        <w:gridCol w:w="9938"/>
      </w:tblGrid>
      <w:tr w:rsidR="00E80BED" w:rsidRPr="008427AD" w14:paraId="1CDCE67F" w14:textId="77777777" w:rsidTr="00837F64">
        <w:tc>
          <w:tcPr>
            <w:tcW w:w="10154" w:type="dxa"/>
          </w:tcPr>
          <w:p w14:paraId="7F78D661" w14:textId="521DCF67" w:rsidR="00E80BED" w:rsidRPr="008427AD" w:rsidRDefault="008427AD" w:rsidP="00837F64">
            <w:pPr>
              <w:autoSpaceDE w:val="0"/>
              <w:autoSpaceDN w:val="0"/>
              <w:adjustRightInd w:val="0"/>
              <w:rPr>
                <w:sz w:val="28"/>
                <w:szCs w:val="28"/>
              </w:rPr>
            </w:pPr>
            <w:r w:rsidRPr="008427AD">
              <w:rPr>
                <w:sz w:val="28"/>
                <w:szCs w:val="28"/>
              </w:rPr>
              <w:t xml:space="preserve">The impact of </w:t>
            </w:r>
            <w:r w:rsidR="00107DC4">
              <w:rPr>
                <w:sz w:val="28"/>
                <w:szCs w:val="28"/>
              </w:rPr>
              <w:t>any</w:t>
            </w:r>
            <w:r w:rsidR="00107DC4" w:rsidRPr="008427AD">
              <w:rPr>
                <w:sz w:val="28"/>
                <w:szCs w:val="28"/>
              </w:rPr>
              <w:t xml:space="preserve"> </w:t>
            </w:r>
            <w:r w:rsidRPr="008427AD">
              <w:rPr>
                <w:sz w:val="28"/>
                <w:szCs w:val="28"/>
              </w:rPr>
              <w:t xml:space="preserve">budget </w:t>
            </w:r>
            <w:r w:rsidR="007F3045">
              <w:rPr>
                <w:sz w:val="28"/>
                <w:szCs w:val="28"/>
              </w:rPr>
              <w:t>cut</w:t>
            </w:r>
            <w:r w:rsidRPr="008427AD">
              <w:rPr>
                <w:sz w:val="28"/>
                <w:szCs w:val="28"/>
              </w:rPr>
              <w:t xml:space="preserve">s </w:t>
            </w:r>
            <w:r w:rsidR="00107DC4">
              <w:rPr>
                <w:sz w:val="28"/>
                <w:szCs w:val="28"/>
              </w:rPr>
              <w:t>may</w:t>
            </w:r>
            <w:r w:rsidR="00107DC4" w:rsidRPr="008427AD">
              <w:rPr>
                <w:sz w:val="28"/>
                <w:szCs w:val="28"/>
              </w:rPr>
              <w:t xml:space="preserve"> </w:t>
            </w:r>
            <w:r w:rsidRPr="008427AD">
              <w:rPr>
                <w:sz w:val="28"/>
                <w:szCs w:val="28"/>
              </w:rPr>
              <w:t xml:space="preserve">be felt across all Section 75 categories, </w:t>
            </w:r>
            <w:r w:rsidR="006A75E1">
              <w:rPr>
                <w:sz w:val="28"/>
                <w:szCs w:val="28"/>
              </w:rPr>
              <w:t xml:space="preserve">either </w:t>
            </w:r>
            <w:r w:rsidRPr="008427AD">
              <w:rPr>
                <w:sz w:val="28"/>
                <w:szCs w:val="28"/>
              </w:rPr>
              <w:t>singly or in combination</w:t>
            </w:r>
            <w:r w:rsidR="00107DC4">
              <w:rPr>
                <w:sz w:val="28"/>
                <w:szCs w:val="28"/>
              </w:rPr>
              <w:t>, although at this time sufficient data are not available to make an accurate forecast</w:t>
            </w:r>
            <w:r w:rsidRPr="008427AD">
              <w:rPr>
                <w:sz w:val="28"/>
                <w:szCs w:val="28"/>
              </w:rPr>
              <w:t>.</w:t>
            </w:r>
          </w:p>
          <w:p w14:paraId="59C555E7" w14:textId="77777777" w:rsidR="00E80BED" w:rsidRPr="008427AD" w:rsidRDefault="00E80BED" w:rsidP="00837F64">
            <w:pPr>
              <w:autoSpaceDE w:val="0"/>
              <w:autoSpaceDN w:val="0"/>
              <w:adjustRightInd w:val="0"/>
              <w:rPr>
                <w:sz w:val="28"/>
                <w:szCs w:val="28"/>
              </w:rPr>
            </w:pPr>
          </w:p>
          <w:p w14:paraId="027D52C4" w14:textId="77777777" w:rsidR="00E80BED" w:rsidRPr="008427AD" w:rsidRDefault="00E80BED" w:rsidP="00837F64">
            <w:pPr>
              <w:autoSpaceDE w:val="0"/>
              <w:autoSpaceDN w:val="0"/>
              <w:adjustRightInd w:val="0"/>
              <w:rPr>
                <w:sz w:val="28"/>
                <w:szCs w:val="28"/>
              </w:rPr>
            </w:pPr>
          </w:p>
        </w:tc>
      </w:tr>
    </w:tbl>
    <w:p w14:paraId="61835FF1" w14:textId="77777777" w:rsidR="006C4E50" w:rsidRDefault="006C4E50" w:rsidP="006C4E50">
      <w:pPr>
        <w:autoSpaceDE w:val="0"/>
        <w:autoSpaceDN w:val="0"/>
        <w:adjustRightInd w:val="0"/>
        <w:rPr>
          <w:rFonts w:cs="Arial"/>
          <w:sz w:val="28"/>
          <w:szCs w:val="28"/>
        </w:rPr>
      </w:pPr>
      <w:r w:rsidRPr="00F36F5D">
        <w:rPr>
          <w:rFonts w:cs="Arial"/>
          <w:sz w:val="28"/>
          <w:szCs w:val="28"/>
        </w:rPr>
        <w:t xml:space="preserve">Provide details of data on the impact of the policy on people with multiple identities. </w:t>
      </w:r>
      <w:r>
        <w:rPr>
          <w:rFonts w:cs="Arial"/>
          <w:sz w:val="28"/>
          <w:szCs w:val="28"/>
        </w:rPr>
        <w:t xml:space="preserve"> </w:t>
      </w:r>
      <w:r w:rsidRPr="00F36F5D">
        <w:rPr>
          <w:rFonts w:cs="Arial"/>
          <w:sz w:val="28"/>
          <w:szCs w:val="28"/>
        </w:rPr>
        <w:t xml:space="preserve">Specify relevant </w:t>
      </w:r>
      <w:smartTag w:uri="urn:schemas-microsoft-com:office:smarttags" w:element="PersonName">
        <w:r>
          <w:rPr>
            <w:rFonts w:cs="Arial"/>
            <w:sz w:val="28"/>
            <w:szCs w:val="28"/>
          </w:rPr>
          <w:t>S</w:t>
        </w:r>
        <w:r w:rsidRPr="00F36F5D">
          <w:rPr>
            <w:rFonts w:cs="Arial"/>
            <w:sz w:val="28"/>
            <w:szCs w:val="28"/>
          </w:rPr>
          <w:t>ection 75</w:t>
        </w:r>
      </w:smartTag>
      <w:r w:rsidRPr="00F36F5D">
        <w:rPr>
          <w:rFonts w:cs="Arial"/>
          <w:sz w:val="28"/>
          <w:szCs w:val="28"/>
        </w:rPr>
        <w:t xml:space="preserve"> categories concerned</w:t>
      </w:r>
      <w:r>
        <w:rPr>
          <w:rFonts w:cs="Arial"/>
          <w:sz w:val="28"/>
          <w:szCs w:val="28"/>
        </w:rPr>
        <w:t>.</w:t>
      </w:r>
    </w:p>
    <w:p w14:paraId="08048E2D" w14:textId="77777777" w:rsidR="008427AD" w:rsidRDefault="008427AD" w:rsidP="006C4E50">
      <w:pPr>
        <w:autoSpaceDE w:val="0"/>
        <w:autoSpaceDN w:val="0"/>
        <w:adjustRightInd w:val="0"/>
        <w:rPr>
          <w:rFonts w:cs="Arial"/>
          <w:sz w:val="28"/>
          <w:szCs w:val="28"/>
        </w:rPr>
      </w:pPr>
    </w:p>
    <w:p w14:paraId="31CEFDDC" w14:textId="77777777" w:rsidR="008427AD" w:rsidRPr="00F36F5D" w:rsidRDefault="002E34C7" w:rsidP="006C4E50">
      <w:pPr>
        <w:autoSpaceDE w:val="0"/>
        <w:autoSpaceDN w:val="0"/>
        <w:adjustRightInd w:val="0"/>
        <w:rPr>
          <w:rFonts w:cs="Arial"/>
          <w:sz w:val="28"/>
          <w:szCs w:val="28"/>
        </w:rPr>
      </w:pPr>
      <w:r>
        <w:rPr>
          <w:rFonts w:cs="Arial"/>
          <w:sz w:val="28"/>
          <w:szCs w:val="28"/>
        </w:rPr>
        <w:t>See above.</w:t>
      </w:r>
    </w:p>
    <w:p w14:paraId="6CEDAC86" w14:textId="77777777" w:rsidR="006C4E50" w:rsidRDefault="006C4E50" w:rsidP="006C4E50">
      <w:pPr>
        <w:autoSpaceDE w:val="0"/>
        <w:autoSpaceDN w:val="0"/>
        <w:adjustRightInd w:val="0"/>
        <w:rPr>
          <w:rFonts w:cs="Arial"/>
          <w:sz w:val="28"/>
          <w:szCs w:val="28"/>
        </w:rPr>
      </w:pPr>
      <w:r>
        <w:br w:type="page"/>
      </w:r>
      <w:r>
        <w:rPr>
          <w:rFonts w:cs="Arial"/>
          <w:b/>
          <w:sz w:val="28"/>
          <w:szCs w:val="28"/>
        </w:rPr>
        <w:lastRenderedPageBreak/>
        <w:t>Part 3. Screening decision</w:t>
      </w:r>
    </w:p>
    <w:p w14:paraId="75007515" w14:textId="77777777" w:rsidR="006C4E50" w:rsidRDefault="006C4E50" w:rsidP="006C4E50">
      <w:pPr>
        <w:autoSpaceDE w:val="0"/>
        <w:autoSpaceDN w:val="0"/>
        <w:adjustRightInd w:val="0"/>
        <w:rPr>
          <w:rFonts w:cs="Arial"/>
          <w:sz w:val="28"/>
          <w:szCs w:val="28"/>
        </w:rPr>
      </w:pPr>
    </w:p>
    <w:p w14:paraId="2D988FC1" w14:textId="77777777" w:rsidR="006C4E50" w:rsidRDefault="006C4E50" w:rsidP="006C4E50">
      <w:pPr>
        <w:autoSpaceDE w:val="0"/>
        <w:autoSpaceDN w:val="0"/>
        <w:adjustRightInd w:val="0"/>
        <w:rPr>
          <w:rFonts w:cs="Arial"/>
          <w:sz w:val="28"/>
          <w:szCs w:val="28"/>
        </w:rPr>
      </w:pPr>
      <w:r w:rsidRPr="00FA0121">
        <w:rPr>
          <w:rFonts w:cs="Arial"/>
          <w:sz w:val="28"/>
          <w:szCs w:val="28"/>
        </w:rPr>
        <w:t xml:space="preserve">If the decision is </w:t>
      </w:r>
      <w:r w:rsidRPr="00D71A0A">
        <w:rPr>
          <w:rFonts w:cs="Arial"/>
          <w:sz w:val="28"/>
          <w:szCs w:val="28"/>
        </w:rPr>
        <w:t>not</w:t>
      </w:r>
      <w:r w:rsidRPr="00FA0121">
        <w:rPr>
          <w:rFonts w:cs="Arial"/>
          <w:sz w:val="28"/>
          <w:szCs w:val="28"/>
        </w:rPr>
        <w:t xml:space="preserve"> to conduct an </w:t>
      </w:r>
      <w:r>
        <w:rPr>
          <w:rFonts w:cs="Arial"/>
          <w:sz w:val="28"/>
          <w:szCs w:val="28"/>
        </w:rPr>
        <w:t>equality impact assessment, please provide details of the reasons.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960"/>
      </w:tblGrid>
      <w:tr w:rsidR="006C4E50" w14:paraId="7083D132" w14:textId="77777777" w:rsidTr="00584495">
        <w:trPr>
          <w:trHeight w:val="1980"/>
        </w:trPr>
        <w:tc>
          <w:tcPr>
            <w:tcW w:w="9960" w:type="dxa"/>
          </w:tcPr>
          <w:p w14:paraId="46EA592A" w14:textId="77777777" w:rsidR="00032308" w:rsidRDefault="00032308" w:rsidP="008E0885">
            <w:pPr>
              <w:autoSpaceDE w:val="0"/>
              <w:autoSpaceDN w:val="0"/>
              <w:adjustRightInd w:val="0"/>
              <w:rPr>
                <w:rFonts w:cs="Arial"/>
                <w:sz w:val="28"/>
                <w:szCs w:val="28"/>
              </w:rPr>
            </w:pPr>
          </w:p>
          <w:p w14:paraId="50CFB2F5" w14:textId="07AD96DC" w:rsidR="006C4E50" w:rsidRPr="0081374C" w:rsidRDefault="00107DC4" w:rsidP="008E0885">
            <w:pPr>
              <w:autoSpaceDE w:val="0"/>
              <w:autoSpaceDN w:val="0"/>
              <w:adjustRightInd w:val="0"/>
              <w:rPr>
                <w:rFonts w:cs="Arial"/>
                <w:sz w:val="28"/>
                <w:szCs w:val="28"/>
              </w:rPr>
            </w:pPr>
            <w:r>
              <w:rPr>
                <w:rFonts w:cs="Arial"/>
                <w:sz w:val="28"/>
                <w:szCs w:val="28"/>
              </w:rPr>
              <w:t xml:space="preserve">The impact of </w:t>
            </w:r>
            <w:r w:rsidR="007F3045">
              <w:rPr>
                <w:rFonts w:cs="Arial"/>
                <w:sz w:val="28"/>
                <w:szCs w:val="28"/>
              </w:rPr>
              <w:t>budget cuts of this magnitude</w:t>
            </w:r>
            <w:r>
              <w:rPr>
                <w:rFonts w:cs="Arial"/>
                <w:sz w:val="28"/>
                <w:szCs w:val="28"/>
              </w:rPr>
              <w:t xml:space="preserve"> are likely to be significant on various Section 75 categories and including those </w:t>
            </w:r>
            <w:r w:rsidR="007F3045">
              <w:rPr>
                <w:rFonts w:cs="Arial"/>
                <w:sz w:val="28"/>
                <w:szCs w:val="28"/>
              </w:rPr>
              <w:t xml:space="preserve">who have been </w:t>
            </w:r>
            <w:r>
              <w:rPr>
                <w:rFonts w:cs="Arial"/>
                <w:sz w:val="28"/>
                <w:szCs w:val="28"/>
              </w:rPr>
              <w:t>traditionally under-represented in the labour market</w:t>
            </w:r>
            <w:r w:rsidR="00D11F7D">
              <w:rPr>
                <w:rFonts w:cs="Arial"/>
                <w:sz w:val="28"/>
                <w:szCs w:val="28"/>
              </w:rPr>
              <w:t>.</w:t>
            </w:r>
            <w:r w:rsidR="00507874">
              <w:rPr>
                <w:rFonts w:cs="Arial"/>
                <w:sz w:val="28"/>
                <w:szCs w:val="28"/>
              </w:rPr>
              <w:t xml:space="preserve"> </w:t>
            </w:r>
          </w:p>
          <w:p w14:paraId="4B1144A8" w14:textId="77777777" w:rsidR="006C4E50" w:rsidRDefault="006C4E50" w:rsidP="002E34C7">
            <w:pPr>
              <w:autoSpaceDE w:val="0"/>
              <w:autoSpaceDN w:val="0"/>
              <w:adjustRightInd w:val="0"/>
              <w:rPr>
                <w:rFonts w:cs="Arial"/>
                <w:sz w:val="28"/>
                <w:szCs w:val="28"/>
              </w:rPr>
            </w:pPr>
          </w:p>
        </w:tc>
      </w:tr>
    </w:tbl>
    <w:p w14:paraId="0BFD6826" w14:textId="77777777" w:rsidR="006C4E50" w:rsidRPr="0081374C" w:rsidRDefault="006C4E50" w:rsidP="006C4E50">
      <w:pPr>
        <w:rPr>
          <w:rFonts w:cs="Arial"/>
          <w:sz w:val="28"/>
          <w:szCs w:val="28"/>
        </w:rPr>
      </w:pPr>
    </w:p>
    <w:p w14:paraId="13912C62" w14:textId="77777777" w:rsidR="006C4E50" w:rsidRPr="0081374C" w:rsidRDefault="006C4E50" w:rsidP="006C4E50">
      <w:pPr>
        <w:autoSpaceDE w:val="0"/>
        <w:autoSpaceDN w:val="0"/>
        <w:adjustRightInd w:val="0"/>
        <w:rPr>
          <w:rFonts w:cs="Arial"/>
          <w:sz w:val="28"/>
          <w:szCs w:val="28"/>
        </w:rPr>
      </w:pPr>
      <w:r w:rsidRPr="0081374C">
        <w:rPr>
          <w:rFonts w:cs="Arial"/>
          <w:sz w:val="28"/>
          <w:szCs w:val="28"/>
        </w:rPr>
        <w:t>If the decision is not to conduct an equality impact assessment the public authority should consider if the policy should be mitigated or an alternative policy be introduced.</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960"/>
      </w:tblGrid>
      <w:tr w:rsidR="006C4E50" w14:paraId="42289DC9" w14:textId="77777777" w:rsidTr="00032308">
        <w:trPr>
          <w:trHeight w:val="1517"/>
        </w:trPr>
        <w:tc>
          <w:tcPr>
            <w:tcW w:w="9960" w:type="dxa"/>
          </w:tcPr>
          <w:p w14:paraId="633A6B9A" w14:textId="77777777" w:rsidR="00032308" w:rsidRDefault="00032308" w:rsidP="008E0885">
            <w:pPr>
              <w:autoSpaceDE w:val="0"/>
              <w:autoSpaceDN w:val="0"/>
              <w:adjustRightInd w:val="0"/>
              <w:rPr>
                <w:rFonts w:cs="Arial"/>
                <w:sz w:val="28"/>
                <w:szCs w:val="28"/>
              </w:rPr>
            </w:pPr>
          </w:p>
          <w:p w14:paraId="4088260D" w14:textId="339AC3FB" w:rsidR="006C4E50" w:rsidRDefault="007F3045" w:rsidP="008E0885">
            <w:pPr>
              <w:autoSpaceDE w:val="0"/>
              <w:autoSpaceDN w:val="0"/>
              <w:adjustRightInd w:val="0"/>
              <w:rPr>
                <w:rFonts w:cs="Arial"/>
                <w:sz w:val="28"/>
                <w:szCs w:val="28"/>
              </w:rPr>
            </w:pPr>
            <w:r>
              <w:rPr>
                <w:rFonts w:cs="Arial"/>
                <w:sz w:val="28"/>
                <w:szCs w:val="28"/>
              </w:rPr>
              <w:t>Responsibility for budget allocation rests with DfE, and it is assumed therefore that responsibility for carrying out an EQIA will also rest with the Department and will extend across all its business areas.</w:t>
            </w:r>
          </w:p>
        </w:tc>
      </w:tr>
    </w:tbl>
    <w:p w14:paraId="2B39F26D" w14:textId="77777777" w:rsidR="006C4E50" w:rsidRPr="0081374C" w:rsidRDefault="006C4E50" w:rsidP="006C4E50">
      <w:pPr>
        <w:autoSpaceDE w:val="0"/>
        <w:autoSpaceDN w:val="0"/>
        <w:adjustRightInd w:val="0"/>
        <w:rPr>
          <w:rFonts w:cs="Arial"/>
          <w:sz w:val="28"/>
          <w:szCs w:val="28"/>
        </w:rPr>
      </w:pPr>
    </w:p>
    <w:p w14:paraId="6916013C" w14:textId="77777777" w:rsidR="006C4E50" w:rsidRPr="0081374C" w:rsidRDefault="006C4E50" w:rsidP="006C4E50">
      <w:pPr>
        <w:autoSpaceDE w:val="0"/>
        <w:autoSpaceDN w:val="0"/>
        <w:adjustRightInd w:val="0"/>
        <w:rPr>
          <w:rFonts w:cs="Arial"/>
          <w:sz w:val="28"/>
          <w:szCs w:val="28"/>
        </w:rPr>
      </w:pPr>
      <w:r w:rsidRPr="0081374C">
        <w:rPr>
          <w:rFonts w:cs="Arial"/>
          <w:sz w:val="28"/>
          <w:szCs w:val="28"/>
        </w:rPr>
        <w:t xml:space="preserve">If the decision is to subject the policy to an </w:t>
      </w:r>
      <w:r>
        <w:rPr>
          <w:rFonts w:cs="Arial"/>
          <w:sz w:val="28"/>
          <w:szCs w:val="28"/>
        </w:rPr>
        <w:t>equality impact assessment</w:t>
      </w:r>
      <w:r w:rsidRPr="0081374C">
        <w:rPr>
          <w:rFonts w:cs="Arial"/>
          <w:sz w:val="28"/>
          <w:szCs w:val="28"/>
        </w:rPr>
        <w:t>, please provide details of the reasons</w:t>
      </w:r>
      <w:r>
        <w:rPr>
          <w:rFonts w:cs="Arial"/>
          <w:sz w:val="28"/>
          <w:szCs w:val="28"/>
        </w:rPr>
        <w:t>.</w:t>
      </w:r>
    </w:p>
    <w:tbl>
      <w:tblPr>
        <w:tblW w:w="99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9960"/>
      </w:tblGrid>
      <w:tr w:rsidR="006C4E50" w14:paraId="58AB66F3" w14:textId="77777777" w:rsidTr="00235C01">
        <w:trPr>
          <w:trHeight w:val="2520"/>
        </w:trPr>
        <w:tc>
          <w:tcPr>
            <w:tcW w:w="9960" w:type="dxa"/>
          </w:tcPr>
          <w:p w14:paraId="0C3A3923" w14:textId="77777777" w:rsidR="006C4E50" w:rsidRPr="0081374C" w:rsidRDefault="006C4E50" w:rsidP="008E0885">
            <w:pPr>
              <w:autoSpaceDE w:val="0"/>
              <w:autoSpaceDN w:val="0"/>
              <w:adjustRightInd w:val="0"/>
              <w:rPr>
                <w:rFonts w:cs="Arial"/>
                <w:sz w:val="28"/>
                <w:szCs w:val="28"/>
              </w:rPr>
            </w:pPr>
          </w:p>
          <w:p w14:paraId="30AE9B21" w14:textId="67412AD3" w:rsidR="006C4E50" w:rsidRPr="0081374C" w:rsidRDefault="002E34C7" w:rsidP="008E0885">
            <w:pPr>
              <w:autoSpaceDE w:val="0"/>
              <w:autoSpaceDN w:val="0"/>
              <w:adjustRightInd w:val="0"/>
              <w:rPr>
                <w:rFonts w:cs="Arial"/>
                <w:b/>
                <w:sz w:val="28"/>
                <w:szCs w:val="28"/>
              </w:rPr>
            </w:pPr>
            <w:r>
              <w:rPr>
                <w:rFonts w:cs="Arial"/>
                <w:sz w:val="28"/>
                <w:szCs w:val="28"/>
              </w:rPr>
              <w:t xml:space="preserve">As detailed above, Section 75 groups across Northern Ireland </w:t>
            </w:r>
            <w:r w:rsidR="00D11F7D">
              <w:rPr>
                <w:rFonts w:cs="Arial"/>
                <w:sz w:val="28"/>
                <w:szCs w:val="28"/>
              </w:rPr>
              <w:t xml:space="preserve">may have the potential to </w:t>
            </w:r>
            <w:r>
              <w:rPr>
                <w:rFonts w:cs="Arial"/>
                <w:sz w:val="28"/>
                <w:szCs w:val="28"/>
              </w:rPr>
              <w:t xml:space="preserve">suffer adverse impacts as a direct result of proposed budget </w:t>
            </w:r>
            <w:r w:rsidR="007F3045">
              <w:rPr>
                <w:rFonts w:cs="Arial"/>
                <w:sz w:val="28"/>
                <w:szCs w:val="28"/>
              </w:rPr>
              <w:t>cuts</w:t>
            </w:r>
            <w:r>
              <w:rPr>
                <w:rFonts w:cs="Arial"/>
                <w:sz w:val="28"/>
                <w:szCs w:val="28"/>
              </w:rPr>
              <w:t xml:space="preserve">.  The extent of these impacts can only be accurately assessed through a full EQIA </w:t>
            </w:r>
            <w:r w:rsidR="00D11F7D">
              <w:rPr>
                <w:rFonts w:cs="Arial"/>
                <w:sz w:val="28"/>
                <w:szCs w:val="28"/>
              </w:rPr>
              <w:t xml:space="preserve">but this will be contingent on </w:t>
            </w:r>
            <w:r>
              <w:rPr>
                <w:rFonts w:cs="Arial"/>
                <w:sz w:val="28"/>
                <w:szCs w:val="28"/>
              </w:rPr>
              <w:t>the gathering of further data</w:t>
            </w:r>
            <w:r w:rsidR="00235C01">
              <w:rPr>
                <w:rFonts w:cs="Arial"/>
                <w:sz w:val="28"/>
                <w:szCs w:val="28"/>
              </w:rPr>
              <w:t xml:space="preserve">. </w:t>
            </w:r>
            <w:r w:rsidR="00D11F7D">
              <w:rPr>
                <w:rFonts w:cs="Arial"/>
                <w:sz w:val="28"/>
                <w:szCs w:val="28"/>
              </w:rPr>
              <w:t xml:space="preserve">It is therefore proposed that an EQIA should be </w:t>
            </w:r>
            <w:r w:rsidR="007F3045">
              <w:rPr>
                <w:rFonts w:cs="Arial"/>
                <w:sz w:val="28"/>
                <w:szCs w:val="28"/>
              </w:rPr>
              <w:t>carried out by DfE across all its business areas and including Invest NI</w:t>
            </w:r>
            <w:r w:rsidR="00235C01">
              <w:rPr>
                <w:rFonts w:cs="Arial"/>
                <w:sz w:val="28"/>
                <w:szCs w:val="28"/>
              </w:rPr>
              <w:t>.</w:t>
            </w:r>
          </w:p>
          <w:p w14:paraId="3582094C" w14:textId="77777777" w:rsidR="006C4E50" w:rsidRDefault="006C4E50" w:rsidP="008E0885">
            <w:pPr>
              <w:autoSpaceDE w:val="0"/>
              <w:autoSpaceDN w:val="0"/>
              <w:adjustRightInd w:val="0"/>
              <w:rPr>
                <w:rFonts w:cs="Arial"/>
                <w:sz w:val="28"/>
                <w:szCs w:val="28"/>
              </w:rPr>
            </w:pPr>
          </w:p>
        </w:tc>
      </w:tr>
    </w:tbl>
    <w:p w14:paraId="429956E9" w14:textId="77777777" w:rsidR="006C4E50" w:rsidRDefault="006C4E50" w:rsidP="006C4E50">
      <w:pPr>
        <w:autoSpaceDE w:val="0"/>
        <w:autoSpaceDN w:val="0"/>
        <w:adjustRightInd w:val="0"/>
        <w:rPr>
          <w:rFonts w:cs="Arial"/>
          <w:b/>
          <w:sz w:val="28"/>
          <w:szCs w:val="28"/>
        </w:rPr>
      </w:pPr>
    </w:p>
    <w:p w14:paraId="0FA8124C" w14:textId="77777777" w:rsidR="006C4E50" w:rsidRDefault="006C4E50" w:rsidP="006C4E50">
      <w:pPr>
        <w:rPr>
          <w:rFonts w:cs="Arial"/>
          <w:sz w:val="28"/>
          <w:szCs w:val="28"/>
        </w:rPr>
      </w:pPr>
      <w:r>
        <w:rPr>
          <w:rFonts w:cs="Arial"/>
          <w:sz w:val="28"/>
          <w:szCs w:val="28"/>
        </w:rPr>
        <w:t>All public authorities’ equality schemes</w:t>
      </w:r>
      <w:r w:rsidRPr="006A5F6A">
        <w:rPr>
          <w:rFonts w:cs="Arial"/>
          <w:sz w:val="28"/>
          <w:szCs w:val="28"/>
        </w:rPr>
        <w:t xml:space="preserve"> </w:t>
      </w:r>
      <w:r>
        <w:rPr>
          <w:rFonts w:cs="Arial"/>
          <w:sz w:val="28"/>
          <w:szCs w:val="28"/>
        </w:rP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rPr>
          <w:rFonts w:cs="Arial"/>
          <w:sz w:val="28"/>
          <w:szCs w:val="28"/>
        </w:rPr>
        <w:t xml:space="preserve">  Further advice </w:t>
      </w:r>
      <w:r>
        <w:rPr>
          <w:rFonts w:cs="Arial"/>
          <w:sz w:val="28"/>
          <w:szCs w:val="28"/>
        </w:rPr>
        <w:t xml:space="preserve">on equality impact assessment </w:t>
      </w:r>
      <w:r w:rsidRPr="006A5F6A">
        <w:rPr>
          <w:rFonts w:cs="Arial"/>
          <w:sz w:val="28"/>
          <w:szCs w:val="28"/>
        </w:rPr>
        <w:t>may be found in a separate Commission publication: Practical Guidance on Equality Impact Assessment.</w:t>
      </w:r>
    </w:p>
    <w:p w14:paraId="3DD2A56E" w14:textId="77777777" w:rsidR="006C4E50" w:rsidRDefault="006C4E50" w:rsidP="006C4E50">
      <w:pPr>
        <w:autoSpaceDE w:val="0"/>
        <w:autoSpaceDN w:val="0"/>
        <w:adjustRightInd w:val="0"/>
        <w:rPr>
          <w:rFonts w:cs="Arial"/>
          <w:b/>
          <w:sz w:val="28"/>
          <w:szCs w:val="28"/>
        </w:rPr>
      </w:pPr>
      <w:r>
        <w:rPr>
          <w:rFonts w:cs="Arial"/>
          <w:b/>
          <w:sz w:val="28"/>
          <w:szCs w:val="28"/>
        </w:rPr>
        <w:br w:type="page"/>
      </w:r>
      <w:commentRangeStart w:id="13"/>
      <w:r w:rsidRPr="00FA0121">
        <w:rPr>
          <w:rFonts w:cs="Arial"/>
          <w:b/>
          <w:sz w:val="28"/>
          <w:szCs w:val="28"/>
        </w:rPr>
        <w:lastRenderedPageBreak/>
        <w:t xml:space="preserve">Mitigation </w:t>
      </w:r>
      <w:commentRangeEnd w:id="13"/>
      <w:r w:rsidR="00052D63">
        <w:rPr>
          <w:rStyle w:val="CommentReference"/>
          <w:rFonts w:asciiTheme="minorHAnsi" w:eastAsiaTheme="minorHAnsi" w:hAnsiTheme="minorHAnsi" w:cstheme="minorBidi"/>
        </w:rPr>
        <w:commentReference w:id="13"/>
      </w:r>
    </w:p>
    <w:p w14:paraId="5521532A" w14:textId="77777777" w:rsidR="006C4E50" w:rsidRDefault="006C4E50" w:rsidP="006C4E50">
      <w:pPr>
        <w:autoSpaceDE w:val="0"/>
        <w:autoSpaceDN w:val="0"/>
        <w:adjustRightInd w:val="0"/>
        <w:rPr>
          <w:rFonts w:cs="Arial"/>
          <w:b/>
          <w:sz w:val="28"/>
          <w:szCs w:val="28"/>
        </w:rPr>
      </w:pPr>
    </w:p>
    <w:p w14:paraId="7A8042CD" w14:textId="77777777" w:rsidR="006C4E50" w:rsidRPr="00FC0C43" w:rsidRDefault="006C4E50" w:rsidP="006C4E50">
      <w:pPr>
        <w:autoSpaceDE w:val="0"/>
        <w:autoSpaceDN w:val="0"/>
        <w:adjustRightInd w:val="0"/>
        <w:rPr>
          <w:rFonts w:cs="Arial"/>
          <w:sz w:val="28"/>
          <w:szCs w:val="28"/>
        </w:rPr>
      </w:pPr>
      <w:r w:rsidRPr="00FC0C43">
        <w:rPr>
          <w:rFonts w:cs="Arial"/>
          <w:sz w:val="28"/>
          <w:szCs w:val="28"/>
        </w:rPr>
        <w:t xml:space="preserve">When the public authority concludes </w:t>
      </w:r>
      <w:r>
        <w:rPr>
          <w:rFonts w:cs="Arial"/>
          <w:sz w:val="28"/>
          <w:szCs w:val="28"/>
        </w:rPr>
        <w:t>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58FBCCB" w14:textId="77777777" w:rsidR="006C4E50" w:rsidRPr="00FA0121" w:rsidRDefault="006C4E50" w:rsidP="006C4E50">
      <w:pPr>
        <w:autoSpaceDE w:val="0"/>
        <w:autoSpaceDN w:val="0"/>
        <w:adjustRightInd w:val="0"/>
        <w:rPr>
          <w:rFonts w:cs="Arial"/>
          <w:sz w:val="28"/>
          <w:szCs w:val="28"/>
        </w:rPr>
      </w:pPr>
    </w:p>
    <w:p w14:paraId="164A7737" w14:textId="77777777" w:rsidR="006C4E50" w:rsidRDefault="006C4E50" w:rsidP="006C4E50">
      <w:pPr>
        <w:autoSpaceDE w:val="0"/>
        <w:autoSpaceDN w:val="0"/>
        <w:adjustRightInd w:val="0"/>
        <w:rPr>
          <w:rFonts w:cs="Arial"/>
          <w:sz w:val="28"/>
          <w:szCs w:val="28"/>
        </w:rPr>
      </w:pPr>
      <w:r w:rsidRPr="00FA0121">
        <w:rPr>
          <w:rFonts w:cs="Arial"/>
          <w:sz w:val="28"/>
          <w:szCs w:val="28"/>
        </w:rPr>
        <w:t xml:space="preserve">Can the policy/decision be amended or changed or an alternative policy introduced to better promote equality of opportunity and/or good relations? </w:t>
      </w:r>
    </w:p>
    <w:p w14:paraId="41CC26B0" w14:textId="77777777" w:rsidR="006C4E50" w:rsidRDefault="006C4E50" w:rsidP="006C4E50">
      <w:pPr>
        <w:autoSpaceDE w:val="0"/>
        <w:autoSpaceDN w:val="0"/>
        <w:adjustRightInd w:val="0"/>
        <w:rPr>
          <w:rFonts w:cs="Arial"/>
          <w:sz w:val="28"/>
          <w:szCs w:val="28"/>
        </w:rPr>
      </w:pPr>
    </w:p>
    <w:p w14:paraId="4FF50022" w14:textId="77777777" w:rsidR="006C4E50" w:rsidRPr="00FA0121" w:rsidRDefault="006C4E50" w:rsidP="006C4E50">
      <w:pPr>
        <w:autoSpaceDE w:val="0"/>
        <w:autoSpaceDN w:val="0"/>
        <w:adjustRightInd w:val="0"/>
        <w:rPr>
          <w:rFonts w:cs="Arial"/>
          <w:sz w:val="28"/>
          <w:szCs w:val="28"/>
        </w:rPr>
      </w:pPr>
      <w:r w:rsidRPr="00FA0121">
        <w:rPr>
          <w:rFonts w:cs="Arial"/>
          <w:sz w:val="28"/>
          <w:szCs w:val="28"/>
        </w:rPr>
        <w:t>If so, give the</w:t>
      </w:r>
      <w:r>
        <w:rPr>
          <w:rFonts w:cs="Arial"/>
          <w:sz w:val="28"/>
          <w:szCs w:val="28"/>
        </w:rPr>
        <w:t xml:space="preserve"> </w:t>
      </w:r>
      <w:r w:rsidRPr="00E01451">
        <w:rPr>
          <w:rFonts w:cs="Arial"/>
          <w:b/>
          <w:sz w:val="28"/>
          <w:szCs w:val="28"/>
        </w:rPr>
        <w:t xml:space="preserve">reasons </w:t>
      </w:r>
      <w:r w:rsidRPr="00FA0121">
        <w:rPr>
          <w:rFonts w:cs="Arial"/>
          <w:sz w:val="28"/>
          <w:szCs w:val="28"/>
        </w:rPr>
        <w:t>to support your decision, together with the proposed changes/amendments or alternative policy.</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960"/>
      </w:tblGrid>
      <w:tr w:rsidR="006C4E50" w14:paraId="44606246" w14:textId="77777777" w:rsidTr="00584495">
        <w:trPr>
          <w:trHeight w:val="5760"/>
        </w:trPr>
        <w:tc>
          <w:tcPr>
            <w:tcW w:w="9960" w:type="dxa"/>
          </w:tcPr>
          <w:p w14:paraId="6BCBB310" w14:textId="77777777" w:rsidR="00032308" w:rsidRDefault="00032308" w:rsidP="008E0885">
            <w:pPr>
              <w:autoSpaceDE w:val="0"/>
              <w:autoSpaceDN w:val="0"/>
              <w:adjustRightInd w:val="0"/>
              <w:rPr>
                <w:rFonts w:cs="Arial"/>
                <w:bCs/>
                <w:sz w:val="28"/>
                <w:szCs w:val="28"/>
              </w:rPr>
            </w:pPr>
          </w:p>
          <w:p w14:paraId="0A57CC34" w14:textId="77777777" w:rsidR="00416F12" w:rsidRDefault="00416F12" w:rsidP="00416F12">
            <w:pPr>
              <w:autoSpaceDE w:val="0"/>
              <w:autoSpaceDN w:val="0"/>
              <w:adjustRightInd w:val="0"/>
              <w:rPr>
                <w:rFonts w:cs="Arial"/>
                <w:bCs/>
                <w:sz w:val="28"/>
                <w:szCs w:val="28"/>
              </w:rPr>
            </w:pPr>
            <w:r>
              <w:rPr>
                <w:rFonts w:cs="Arial"/>
                <w:bCs/>
                <w:sz w:val="28"/>
                <w:szCs w:val="28"/>
              </w:rPr>
              <w:t>In respect of the under allocation on Capital Funding, this can be mitigated through successful FTC and UKSPF Bids. Further to this any residual gap could be managed through the opportunity to bid for additional capital via monitoring rounds.</w:t>
            </w:r>
          </w:p>
          <w:p w14:paraId="0512FC29" w14:textId="15E9D13D" w:rsidR="006C4E50" w:rsidRPr="007F3045" w:rsidRDefault="006C4E50" w:rsidP="008E0885">
            <w:pPr>
              <w:autoSpaceDE w:val="0"/>
              <w:autoSpaceDN w:val="0"/>
              <w:adjustRightInd w:val="0"/>
              <w:rPr>
                <w:rFonts w:cs="Arial"/>
                <w:bCs/>
                <w:sz w:val="28"/>
                <w:szCs w:val="28"/>
              </w:rPr>
            </w:pPr>
          </w:p>
        </w:tc>
      </w:tr>
    </w:tbl>
    <w:p w14:paraId="40A6E5CE" w14:textId="77777777" w:rsidR="006C4E50" w:rsidRDefault="006C4E50" w:rsidP="006C4E50">
      <w:pPr>
        <w:autoSpaceDE w:val="0"/>
        <w:autoSpaceDN w:val="0"/>
        <w:adjustRightInd w:val="0"/>
        <w:rPr>
          <w:rFonts w:cs="Arial"/>
          <w:b/>
          <w:sz w:val="28"/>
          <w:szCs w:val="28"/>
        </w:rPr>
      </w:pPr>
    </w:p>
    <w:p w14:paraId="5DCAE986" w14:textId="77777777" w:rsidR="006C4E50" w:rsidRDefault="006C4E50" w:rsidP="006C4E50">
      <w:pPr>
        <w:autoSpaceDE w:val="0"/>
        <w:autoSpaceDN w:val="0"/>
        <w:adjustRightInd w:val="0"/>
        <w:jc w:val="both"/>
        <w:rPr>
          <w:rFonts w:cs="Arial"/>
          <w:b/>
          <w:sz w:val="28"/>
          <w:szCs w:val="28"/>
        </w:rPr>
      </w:pPr>
      <w:r>
        <w:rPr>
          <w:rFonts w:cs="Arial"/>
          <w:b/>
          <w:sz w:val="28"/>
          <w:szCs w:val="28"/>
        </w:rPr>
        <w:br w:type="page"/>
      </w:r>
      <w:r>
        <w:rPr>
          <w:rFonts w:cs="Arial"/>
          <w:b/>
          <w:sz w:val="28"/>
          <w:szCs w:val="28"/>
        </w:rPr>
        <w:lastRenderedPageBreak/>
        <w:t>Timetabl</w:t>
      </w:r>
      <w:r w:rsidRPr="00F70DA4">
        <w:rPr>
          <w:rFonts w:cs="Arial"/>
          <w:b/>
          <w:sz w:val="28"/>
          <w:szCs w:val="28"/>
        </w:rPr>
        <w:t>ing and prioritising</w:t>
      </w:r>
    </w:p>
    <w:p w14:paraId="4C6DA3C7" w14:textId="77777777" w:rsidR="006C4E50" w:rsidRPr="00F70DA4" w:rsidRDefault="006C4E50" w:rsidP="006C4E50">
      <w:pPr>
        <w:autoSpaceDE w:val="0"/>
        <w:autoSpaceDN w:val="0"/>
        <w:adjustRightInd w:val="0"/>
        <w:jc w:val="both"/>
        <w:rPr>
          <w:rFonts w:cs="Arial"/>
          <w:b/>
          <w:sz w:val="28"/>
          <w:szCs w:val="28"/>
        </w:rPr>
      </w:pPr>
    </w:p>
    <w:p w14:paraId="20AA9275" w14:textId="77777777" w:rsidR="00867E0C" w:rsidRPr="00867E0C" w:rsidRDefault="00867E0C" w:rsidP="00867E0C">
      <w:pPr>
        <w:rPr>
          <w:rFonts w:cs="Arial"/>
          <w:sz w:val="28"/>
          <w:szCs w:val="28"/>
        </w:rPr>
      </w:pPr>
      <w:r w:rsidRPr="00867E0C">
        <w:rPr>
          <w:rFonts w:cs="Arial"/>
          <w:sz w:val="28"/>
          <w:szCs w:val="28"/>
        </w:rPr>
        <w:t xml:space="preserve">Factors to be considered in timetabling and prioritising policies for </w:t>
      </w:r>
      <w:r w:rsidRPr="00867E0C">
        <w:rPr>
          <w:rFonts w:cs="Arial"/>
          <w:sz w:val="28"/>
          <w:szCs w:val="28"/>
          <w:u w:val="single"/>
        </w:rPr>
        <w:t>equality impact assessment</w:t>
      </w:r>
      <w:r w:rsidRPr="00867E0C">
        <w:rPr>
          <w:rFonts w:cs="Arial"/>
          <w:sz w:val="28"/>
          <w:szCs w:val="28"/>
        </w:rPr>
        <w:t>.</w:t>
      </w:r>
    </w:p>
    <w:p w14:paraId="4AC15065" w14:textId="77777777" w:rsidR="00867E0C" w:rsidRPr="00867E0C" w:rsidRDefault="00867E0C" w:rsidP="00867E0C">
      <w:pPr>
        <w:rPr>
          <w:rFonts w:cs="Arial"/>
          <w:sz w:val="28"/>
        </w:rPr>
      </w:pPr>
    </w:p>
    <w:p w14:paraId="75360DE0" w14:textId="77777777" w:rsidR="00867E0C" w:rsidRPr="00867E0C" w:rsidRDefault="00867E0C" w:rsidP="00867E0C">
      <w:pPr>
        <w:rPr>
          <w:rFonts w:cs="Arial"/>
          <w:sz w:val="28"/>
        </w:rPr>
      </w:pPr>
      <w:r w:rsidRPr="00867E0C">
        <w:rPr>
          <w:rFonts w:cs="Arial"/>
          <w:sz w:val="28"/>
        </w:rPr>
        <w:t xml:space="preserve">If the policy has been </w:t>
      </w:r>
      <w:r w:rsidRPr="00867E0C">
        <w:rPr>
          <w:rFonts w:cs="Arial"/>
          <w:b/>
          <w:sz w:val="28"/>
        </w:rPr>
        <w:t xml:space="preserve">‘screened in’ </w:t>
      </w:r>
      <w:r w:rsidRPr="00867E0C">
        <w:rPr>
          <w:rFonts w:cs="Arial"/>
          <w:sz w:val="28"/>
        </w:rPr>
        <w:t>for equality impact assessment, then please answer the following questions to determine its priority for timetabling the equality impact assessment.</w:t>
      </w:r>
    </w:p>
    <w:p w14:paraId="35BF4CC0" w14:textId="77777777" w:rsidR="00867E0C" w:rsidRPr="00867E0C" w:rsidRDefault="00867E0C" w:rsidP="00867E0C">
      <w:pPr>
        <w:rPr>
          <w:rFonts w:cs="Arial"/>
          <w:sz w:val="28"/>
        </w:rPr>
      </w:pPr>
    </w:p>
    <w:p w14:paraId="06F03DB1" w14:textId="77777777" w:rsidR="00867E0C" w:rsidRPr="00867E0C" w:rsidRDefault="00867E0C" w:rsidP="00867E0C">
      <w:pPr>
        <w:rPr>
          <w:sz w:val="28"/>
          <w:szCs w:val="28"/>
        </w:rPr>
      </w:pPr>
      <w:r w:rsidRPr="00867E0C">
        <w:rPr>
          <w:sz w:val="28"/>
          <w:szCs w:val="28"/>
        </w:rPr>
        <w:t>On a scale of 1-3, with 1 being the lowest priority and 3 being the highest, assess the policy in terms of its priority for equality impact assessment.</w:t>
      </w:r>
    </w:p>
    <w:p w14:paraId="497B5DE8" w14:textId="77777777" w:rsidR="00867E0C" w:rsidRPr="00867E0C" w:rsidRDefault="00867E0C" w:rsidP="00867E0C">
      <w:pPr>
        <w:rPr>
          <w:sz w:val="28"/>
          <w:szCs w:val="28"/>
        </w:rPr>
      </w:pPr>
    </w:p>
    <w:p w14:paraId="1CCE6660" w14:textId="77777777" w:rsidR="00867E0C" w:rsidRPr="00867E0C" w:rsidRDefault="00867E0C" w:rsidP="00867E0C">
      <w:pPr>
        <w:rPr>
          <w:sz w:val="28"/>
          <w:szCs w:val="28"/>
        </w:rPr>
      </w:pPr>
      <w:r w:rsidRPr="00867E0C">
        <w:rPr>
          <w:b/>
          <w:sz w:val="28"/>
          <w:szCs w:val="28"/>
        </w:rPr>
        <w:t xml:space="preserve">Priority criterion </w:t>
      </w:r>
      <w:r w:rsidRPr="00867E0C">
        <w:rPr>
          <w:sz w:val="28"/>
          <w:szCs w:val="28"/>
        </w:rPr>
        <w:t>[choose 1 2 or 3 if a full EQIA is to take place]</w:t>
      </w:r>
    </w:p>
    <w:p w14:paraId="353A233A" w14:textId="77777777" w:rsidR="00867E0C" w:rsidRPr="00867E0C" w:rsidRDefault="00867E0C" w:rsidP="00867E0C">
      <w:pPr>
        <w:rPr>
          <w:sz w:val="28"/>
          <w:szCs w:val="28"/>
        </w:rPr>
      </w:pPr>
    </w:p>
    <w:p w14:paraId="1266444F" w14:textId="71FBE98E" w:rsidR="00867E0C" w:rsidRPr="00867E0C" w:rsidRDefault="00867E0C" w:rsidP="00867E0C">
      <w:pPr>
        <w:numPr>
          <w:ilvl w:val="12"/>
          <w:numId w:val="0"/>
        </w:numPr>
        <w:rPr>
          <w:b/>
          <w:sz w:val="28"/>
          <w:szCs w:val="28"/>
        </w:rPr>
      </w:pPr>
      <w:r w:rsidRPr="00867E0C">
        <w:rPr>
          <w:sz w:val="28"/>
          <w:szCs w:val="28"/>
        </w:rPr>
        <w:t xml:space="preserve">Effect on equality of opportunity and good relations </w:t>
      </w:r>
      <w:r w:rsidRPr="00867E0C">
        <w:rPr>
          <w:sz w:val="28"/>
          <w:szCs w:val="28"/>
        </w:rPr>
        <w:tab/>
      </w:r>
      <w:r w:rsidRPr="00867E0C">
        <w:rPr>
          <w:b/>
          <w:sz w:val="28"/>
          <w:szCs w:val="28"/>
        </w:rPr>
        <w:t>Rating 3</w:t>
      </w:r>
    </w:p>
    <w:p w14:paraId="7857552D" w14:textId="683BE8E4" w:rsidR="00867E0C" w:rsidRPr="00867E0C" w:rsidRDefault="00867E0C" w:rsidP="00867E0C">
      <w:pPr>
        <w:numPr>
          <w:ilvl w:val="12"/>
          <w:numId w:val="0"/>
        </w:numPr>
        <w:rPr>
          <w:sz w:val="28"/>
          <w:szCs w:val="28"/>
        </w:rPr>
      </w:pPr>
      <w:r w:rsidRPr="00867E0C">
        <w:rPr>
          <w:sz w:val="28"/>
          <w:szCs w:val="28"/>
        </w:rPr>
        <w:t>Social need</w:t>
      </w:r>
      <w:r w:rsidRPr="00867E0C">
        <w:rPr>
          <w:sz w:val="28"/>
          <w:szCs w:val="28"/>
        </w:rPr>
        <w:tab/>
      </w:r>
      <w:r w:rsidRPr="00867E0C">
        <w:rPr>
          <w:sz w:val="28"/>
          <w:szCs w:val="28"/>
        </w:rPr>
        <w:tab/>
      </w:r>
      <w:r w:rsidRPr="00867E0C">
        <w:rPr>
          <w:sz w:val="28"/>
          <w:szCs w:val="28"/>
        </w:rPr>
        <w:tab/>
      </w:r>
      <w:r w:rsidRPr="00867E0C">
        <w:rPr>
          <w:sz w:val="28"/>
          <w:szCs w:val="28"/>
        </w:rPr>
        <w:tab/>
      </w:r>
      <w:r w:rsidRPr="00867E0C">
        <w:rPr>
          <w:sz w:val="28"/>
          <w:szCs w:val="28"/>
        </w:rPr>
        <w:tab/>
      </w:r>
      <w:r w:rsidRPr="00867E0C">
        <w:rPr>
          <w:sz w:val="28"/>
          <w:szCs w:val="28"/>
        </w:rPr>
        <w:tab/>
      </w:r>
      <w:r w:rsidRPr="00867E0C">
        <w:rPr>
          <w:sz w:val="28"/>
          <w:szCs w:val="28"/>
        </w:rPr>
        <w:tab/>
      </w:r>
      <w:r w:rsidRPr="00867E0C">
        <w:rPr>
          <w:b/>
          <w:sz w:val="28"/>
          <w:szCs w:val="28"/>
        </w:rPr>
        <w:t>Rating 3</w:t>
      </w:r>
    </w:p>
    <w:p w14:paraId="496B8E51" w14:textId="5D6259DA" w:rsidR="00867E0C" w:rsidRPr="00867E0C" w:rsidRDefault="00867E0C" w:rsidP="00867E0C">
      <w:pPr>
        <w:numPr>
          <w:ilvl w:val="12"/>
          <w:numId w:val="0"/>
        </w:numPr>
        <w:rPr>
          <w:sz w:val="28"/>
          <w:szCs w:val="28"/>
        </w:rPr>
      </w:pPr>
      <w:r w:rsidRPr="00867E0C">
        <w:rPr>
          <w:sz w:val="28"/>
          <w:szCs w:val="28"/>
        </w:rPr>
        <w:t>Effect on people’s daily lives</w:t>
      </w:r>
      <w:r w:rsidRPr="00867E0C">
        <w:rPr>
          <w:sz w:val="28"/>
          <w:szCs w:val="28"/>
        </w:rPr>
        <w:tab/>
      </w:r>
      <w:r w:rsidRPr="00867E0C">
        <w:rPr>
          <w:sz w:val="28"/>
          <w:szCs w:val="28"/>
        </w:rPr>
        <w:tab/>
      </w:r>
      <w:r w:rsidRPr="00867E0C">
        <w:rPr>
          <w:sz w:val="28"/>
          <w:szCs w:val="28"/>
        </w:rPr>
        <w:tab/>
      </w:r>
      <w:r w:rsidRPr="00867E0C">
        <w:rPr>
          <w:sz w:val="28"/>
          <w:szCs w:val="28"/>
        </w:rPr>
        <w:tab/>
      </w:r>
      <w:r w:rsidRPr="00867E0C">
        <w:rPr>
          <w:sz w:val="28"/>
          <w:szCs w:val="28"/>
        </w:rPr>
        <w:tab/>
      </w:r>
      <w:r w:rsidRPr="00867E0C">
        <w:rPr>
          <w:b/>
          <w:sz w:val="28"/>
          <w:szCs w:val="28"/>
        </w:rPr>
        <w:t>Rating 3</w:t>
      </w:r>
    </w:p>
    <w:p w14:paraId="3E3F93B7" w14:textId="211DF709" w:rsidR="00867E0C" w:rsidRPr="00867E0C" w:rsidRDefault="00867E0C" w:rsidP="00867E0C">
      <w:pPr>
        <w:numPr>
          <w:ilvl w:val="12"/>
          <w:numId w:val="0"/>
        </w:numPr>
        <w:rPr>
          <w:highlight w:val="yellow"/>
        </w:rPr>
      </w:pPr>
      <w:r w:rsidRPr="00867E0C">
        <w:rPr>
          <w:sz w:val="28"/>
          <w:szCs w:val="28"/>
        </w:rPr>
        <w:t>Relevance to a public authority’s functions</w:t>
      </w:r>
      <w:r w:rsidRPr="00867E0C">
        <w:rPr>
          <w:sz w:val="28"/>
          <w:szCs w:val="28"/>
        </w:rPr>
        <w:tab/>
      </w:r>
      <w:r w:rsidRPr="00867E0C">
        <w:rPr>
          <w:sz w:val="28"/>
          <w:szCs w:val="28"/>
        </w:rPr>
        <w:tab/>
      </w:r>
      <w:r w:rsidRPr="00867E0C">
        <w:rPr>
          <w:b/>
          <w:sz w:val="28"/>
          <w:szCs w:val="28"/>
        </w:rPr>
        <w:t>Rating 3</w:t>
      </w:r>
    </w:p>
    <w:p w14:paraId="2812A89A" w14:textId="77777777" w:rsidR="00867E0C" w:rsidRPr="00867E0C" w:rsidRDefault="00867E0C" w:rsidP="00867E0C">
      <w:pPr>
        <w:ind w:hanging="360"/>
        <w:rPr>
          <w:b/>
          <w:sz w:val="28"/>
        </w:rPr>
      </w:pPr>
    </w:p>
    <w:p w14:paraId="6EDADC9B" w14:textId="77777777" w:rsidR="00867E0C" w:rsidRPr="00867E0C" w:rsidRDefault="00867E0C" w:rsidP="00867E0C">
      <w:pPr>
        <w:rPr>
          <w:sz w:val="28"/>
          <w:szCs w:val="28"/>
        </w:rPr>
      </w:pPr>
      <w:r w:rsidRPr="00867E0C">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5D4E1D25" w14:textId="77777777" w:rsidR="00867E0C" w:rsidRPr="00867E0C" w:rsidRDefault="00867E0C" w:rsidP="00867E0C">
      <w:pPr>
        <w:numPr>
          <w:ilvl w:val="12"/>
          <w:numId w:val="0"/>
        </w:numPr>
      </w:pPr>
    </w:p>
    <w:p w14:paraId="18C0F194" w14:textId="77777777" w:rsidR="00867E0C" w:rsidRPr="00867E0C" w:rsidRDefault="00867E0C" w:rsidP="00867E0C">
      <w:pPr>
        <w:rPr>
          <w:sz w:val="28"/>
          <w:szCs w:val="28"/>
        </w:rPr>
      </w:pPr>
      <w:r w:rsidRPr="00867E0C">
        <w:rPr>
          <w:sz w:val="28"/>
          <w:szCs w:val="28"/>
        </w:rPr>
        <w:t>Is the policy affected by timetables established by other relevant public authorities?</w:t>
      </w:r>
    </w:p>
    <w:p w14:paraId="3D008C23" w14:textId="77777777" w:rsidR="00867E0C" w:rsidRPr="00867E0C" w:rsidRDefault="00867E0C" w:rsidP="00867E0C">
      <w:pPr>
        <w:rPr>
          <w:sz w:val="28"/>
        </w:rPr>
      </w:pPr>
    </w:p>
    <w:p w14:paraId="590CFE98" w14:textId="77777777" w:rsidR="00867E0C" w:rsidRPr="00867E0C" w:rsidRDefault="00867E0C" w:rsidP="00867E0C">
      <w:pPr>
        <w:autoSpaceDE w:val="0"/>
        <w:autoSpaceDN w:val="0"/>
        <w:adjustRightInd w:val="0"/>
        <w:rPr>
          <w:sz w:val="28"/>
          <w:szCs w:val="28"/>
        </w:rPr>
      </w:pPr>
      <w:r w:rsidRPr="00867E0C">
        <w:rPr>
          <w:sz w:val="28"/>
          <w:szCs w:val="28"/>
        </w:rPr>
        <w:t>If yes, please provide details.</w:t>
      </w:r>
    </w:p>
    <w:p w14:paraId="6F211701" w14:textId="77777777" w:rsidR="00867E0C" w:rsidRDefault="00867E0C" w:rsidP="00867E0C">
      <w:pPr>
        <w:autoSpaceDE w:val="0"/>
        <w:autoSpaceDN w:val="0"/>
        <w:adjustRightInd w:val="0"/>
        <w:rPr>
          <w:b/>
          <w:u w:val="single"/>
        </w:rPr>
      </w:pPr>
    </w:p>
    <w:p w14:paraId="3772ACCE" w14:textId="77777777" w:rsidR="00867E0C" w:rsidRDefault="00867E0C" w:rsidP="00867E0C">
      <w:pPr>
        <w:autoSpaceDE w:val="0"/>
        <w:autoSpaceDN w:val="0"/>
        <w:adjustRightInd w:val="0"/>
        <w:rPr>
          <w:b/>
          <w:u w:val="single"/>
        </w:rPr>
      </w:pPr>
    </w:p>
    <w:p w14:paraId="7B8357DB" w14:textId="77777777" w:rsidR="00867E0C" w:rsidRDefault="00867E0C" w:rsidP="00867E0C">
      <w:pPr>
        <w:autoSpaceDE w:val="0"/>
        <w:autoSpaceDN w:val="0"/>
        <w:adjustRightInd w:val="0"/>
        <w:rPr>
          <w:b/>
          <w:u w:val="single"/>
        </w:rPr>
      </w:pPr>
    </w:p>
    <w:p w14:paraId="2088B986" w14:textId="77777777" w:rsidR="00867E0C" w:rsidRDefault="00867E0C" w:rsidP="00867E0C">
      <w:pPr>
        <w:autoSpaceDE w:val="0"/>
        <w:autoSpaceDN w:val="0"/>
        <w:adjustRightInd w:val="0"/>
        <w:rPr>
          <w:b/>
          <w:u w:val="single"/>
        </w:rPr>
      </w:pPr>
    </w:p>
    <w:p w14:paraId="5B178579" w14:textId="77777777" w:rsidR="00867E0C" w:rsidRDefault="00867E0C" w:rsidP="00867E0C">
      <w:pPr>
        <w:autoSpaceDE w:val="0"/>
        <w:autoSpaceDN w:val="0"/>
        <w:adjustRightInd w:val="0"/>
        <w:rPr>
          <w:b/>
          <w:u w:val="single"/>
        </w:rPr>
      </w:pPr>
    </w:p>
    <w:p w14:paraId="2C73BE7D" w14:textId="77777777" w:rsidR="00867E0C" w:rsidRDefault="00867E0C" w:rsidP="00867E0C">
      <w:pPr>
        <w:autoSpaceDE w:val="0"/>
        <w:autoSpaceDN w:val="0"/>
        <w:adjustRightInd w:val="0"/>
        <w:rPr>
          <w:b/>
          <w:u w:val="single"/>
        </w:rPr>
      </w:pPr>
    </w:p>
    <w:p w14:paraId="5CD72455" w14:textId="77777777" w:rsidR="00867E0C" w:rsidRPr="00867E0C" w:rsidRDefault="00867E0C" w:rsidP="00867E0C">
      <w:pPr>
        <w:keepNext/>
        <w:outlineLvl w:val="4"/>
        <w:rPr>
          <w:b/>
          <w:u w:val="single"/>
        </w:rPr>
      </w:pPr>
      <w:r w:rsidRPr="00867E0C">
        <w:rPr>
          <w:b/>
          <w:u w:val="single"/>
        </w:rPr>
        <w:t>Part 4. Monitoring</w:t>
      </w:r>
    </w:p>
    <w:p w14:paraId="4499B91B" w14:textId="77777777" w:rsidR="00867E0C" w:rsidRPr="00867E0C" w:rsidRDefault="00867E0C" w:rsidP="00867E0C">
      <w:pPr>
        <w:autoSpaceDE w:val="0"/>
        <w:autoSpaceDN w:val="0"/>
        <w:adjustRightInd w:val="0"/>
        <w:rPr>
          <w:rFonts w:cs="Arial"/>
          <w:b/>
          <w:sz w:val="36"/>
          <w:szCs w:val="36"/>
        </w:rPr>
      </w:pPr>
    </w:p>
    <w:p w14:paraId="585F0DAF" w14:textId="77777777" w:rsidR="00867E0C" w:rsidRPr="00867E0C" w:rsidRDefault="00867E0C" w:rsidP="00867E0C">
      <w:pPr>
        <w:autoSpaceDE w:val="0"/>
        <w:autoSpaceDN w:val="0"/>
        <w:adjustRightInd w:val="0"/>
        <w:rPr>
          <w:rFonts w:cs="Arial"/>
          <w:sz w:val="28"/>
          <w:szCs w:val="28"/>
        </w:rPr>
      </w:pPr>
      <w:r w:rsidRPr="00867E0C">
        <w:rPr>
          <w:rFonts w:cs="Arial"/>
          <w:sz w:val="28"/>
          <w:szCs w:val="28"/>
        </w:rPr>
        <w:t xml:space="preserve">Public authorities should consider the guidance contained in the Commission’s Monitoring Guidance for Use by Public Authorities (July 2007). </w:t>
      </w:r>
    </w:p>
    <w:p w14:paraId="519CDA59" w14:textId="77777777" w:rsidR="00867E0C" w:rsidRPr="00867E0C" w:rsidRDefault="00867E0C" w:rsidP="00867E0C">
      <w:pPr>
        <w:autoSpaceDE w:val="0"/>
        <w:autoSpaceDN w:val="0"/>
        <w:adjustRightInd w:val="0"/>
        <w:rPr>
          <w:rFonts w:cs="Arial"/>
          <w:sz w:val="28"/>
          <w:szCs w:val="28"/>
        </w:rPr>
      </w:pPr>
    </w:p>
    <w:p w14:paraId="09717821" w14:textId="77777777" w:rsidR="00867E0C" w:rsidRPr="00867E0C" w:rsidRDefault="00867E0C" w:rsidP="00867E0C">
      <w:pPr>
        <w:autoSpaceDE w:val="0"/>
        <w:autoSpaceDN w:val="0"/>
        <w:adjustRightInd w:val="0"/>
        <w:rPr>
          <w:rFonts w:cs="Arial"/>
          <w:sz w:val="28"/>
          <w:szCs w:val="28"/>
        </w:rPr>
      </w:pPr>
      <w:r w:rsidRPr="00867E0C">
        <w:rPr>
          <w:rFonts w:cs="Arial"/>
          <w:sz w:val="28"/>
          <w:szCs w:val="28"/>
        </w:rPr>
        <w:t xml:space="preserve">The Commission recommends that where the policy has been amended or an alternative policy introduced, the public authority should monitor more broadly </w:t>
      </w:r>
      <w:r w:rsidRPr="00867E0C">
        <w:rPr>
          <w:rFonts w:cs="Arial"/>
          <w:sz w:val="28"/>
          <w:szCs w:val="28"/>
        </w:rPr>
        <w:lastRenderedPageBreak/>
        <w:t>than for adverse impact (See Benefits, P.9-10, paras 2.13 – 2.20 of the Monitoring Guidance).</w:t>
      </w:r>
    </w:p>
    <w:p w14:paraId="611A3DC3" w14:textId="77777777" w:rsidR="00867E0C" w:rsidRPr="00867E0C" w:rsidRDefault="00867E0C" w:rsidP="00867E0C">
      <w:pPr>
        <w:autoSpaceDE w:val="0"/>
        <w:autoSpaceDN w:val="0"/>
        <w:adjustRightInd w:val="0"/>
        <w:rPr>
          <w:rFonts w:cs="Arial"/>
          <w:sz w:val="28"/>
          <w:szCs w:val="28"/>
        </w:rPr>
      </w:pPr>
    </w:p>
    <w:p w14:paraId="46C04F63" w14:textId="77777777" w:rsidR="00867E0C" w:rsidRPr="00867E0C" w:rsidRDefault="00867E0C" w:rsidP="00867E0C">
      <w:pPr>
        <w:autoSpaceDE w:val="0"/>
        <w:autoSpaceDN w:val="0"/>
        <w:adjustRightInd w:val="0"/>
        <w:rPr>
          <w:rFonts w:cs="Arial"/>
          <w:sz w:val="28"/>
          <w:szCs w:val="28"/>
        </w:rPr>
      </w:pPr>
      <w:r w:rsidRPr="00867E0C">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5AB251DE" w14:textId="77777777" w:rsidR="00867E0C" w:rsidRPr="00867E0C" w:rsidRDefault="00867E0C" w:rsidP="00867E0C">
      <w:pPr>
        <w:autoSpaceDE w:val="0"/>
        <w:autoSpaceDN w:val="0"/>
        <w:adjustRightInd w:val="0"/>
        <w:rPr>
          <w:rFonts w:cs="Arial"/>
          <w:sz w:val="28"/>
          <w:szCs w:val="28"/>
        </w:rPr>
      </w:pPr>
    </w:p>
    <w:p w14:paraId="05FBA7BD" w14:textId="77777777" w:rsidR="00867E0C" w:rsidRPr="00867E0C" w:rsidRDefault="00867E0C" w:rsidP="00867E0C">
      <w:pPr>
        <w:autoSpaceDE w:val="0"/>
        <w:autoSpaceDN w:val="0"/>
        <w:adjustRightInd w:val="0"/>
        <w:rPr>
          <w:rFonts w:cs="Arial"/>
          <w:sz w:val="28"/>
          <w:szCs w:val="28"/>
        </w:rPr>
      </w:pPr>
    </w:p>
    <w:p w14:paraId="225EBB54" w14:textId="77777777" w:rsidR="00867E0C" w:rsidRPr="00867E0C" w:rsidRDefault="00867E0C" w:rsidP="00867E0C">
      <w:pPr>
        <w:rPr>
          <w:b/>
          <w:sz w:val="28"/>
        </w:rPr>
      </w:pPr>
    </w:p>
    <w:p w14:paraId="27454BCD" w14:textId="77777777" w:rsidR="00867E0C" w:rsidRPr="00867E0C" w:rsidRDefault="00867E0C" w:rsidP="00867E0C">
      <w:pPr>
        <w:keepNext/>
        <w:outlineLvl w:val="4"/>
        <w:rPr>
          <w:b/>
          <w:u w:val="single"/>
        </w:rPr>
      </w:pPr>
      <w:r w:rsidRPr="00867E0C">
        <w:rPr>
          <w:b/>
          <w:u w:val="single"/>
        </w:rPr>
        <w:t>Part 5 - Approval and authorisation</w:t>
      </w:r>
    </w:p>
    <w:p w14:paraId="2879B97C" w14:textId="77777777" w:rsidR="00867E0C" w:rsidRPr="00867E0C" w:rsidRDefault="00867E0C" w:rsidP="00867E0C">
      <w:pPr>
        <w:rPr>
          <w:b/>
          <w:sz w:val="28"/>
        </w:rPr>
      </w:pPr>
    </w:p>
    <w:p w14:paraId="60CDA4DC" w14:textId="152F0429" w:rsidR="00867E0C" w:rsidRPr="00867E0C" w:rsidRDefault="00867E0C" w:rsidP="00867E0C">
      <w:pPr>
        <w:ind w:left="360" w:hanging="360"/>
        <w:rPr>
          <w:sz w:val="28"/>
          <w:szCs w:val="28"/>
        </w:rPr>
      </w:pPr>
      <w:r w:rsidRPr="00867E0C">
        <w:rPr>
          <w:sz w:val="28"/>
          <w:szCs w:val="28"/>
        </w:rPr>
        <w:t>Screened by:</w:t>
      </w:r>
      <w:r>
        <w:rPr>
          <w:sz w:val="28"/>
          <w:szCs w:val="28"/>
        </w:rPr>
        <w:t xml:space="preserve"> Pamela Marron</w:t>
      </w:r>
    </w:p>
    <w:p w14:paraId="4C3A6B74" w14:textId="521E0E54" w:rsidR="00867E0C" w:rsidRPr="00867E0C" w:rsidRDefault="00867E0C" w:rsidP="00867E0C">
      <w:pPr>
        <w:ind w:left="360" w:hanging="360"/>
        <w:rPr>
          <w:sz w:val="28"/>
          <w:szCs w:val="28"/>
        </w:rPr>
      </w:pPr>
      <w:r w:rsidRPr="00867E0C">
        <w:rPr>
          <w:sz w:val="28"/>
          <w:szCs w:val="28"/>
        </w:rPr>
        <w:t>Position/Job Title:</w:t>
      </w:r>
      <w:r>
        <w:rPr>
          <w:sz w:val="28"/>
          <w:szCs w:val="28"/>
        </w:rPr>
        <w:t xml:space="preserve"> </w:t>
      </w:r>
      <w:r w:rsidR="0009051E">
        <w:rPr>
          <w:sz w:val="28"/>
          <w:szCs w:val="28"/>
        </w:rPr>
        <w:t>Equality Manager</w:t>
      </w:r>
    </w:p>
    <w:p w14:paraId="783931AE" w14:textId="69CCB0C1" w:rsidR="00867E0C" w:rsidRPr="00867E0C" w:rsidRDefault="00867E0C" w:rsidP="00867E0C">
      <w:pPr>
        <w:ind w:left="360" w:hanging="360"/>
        <w:rPr>
          <w:sz w:val="28"/>
          <w:szCs w:val="28"/>
        </w:rPr>
      </w:pPr>
      <w:r w:rsidRPr="00867E0C">
        <w:rPr>
          <w:sz w:val="28"/>
          <w:szCs w:val="28"/>
        </w:rPr>
        <w:t>Date:</w:t>
      </w:r>
      <w:r w:rsidR="0009051E">
        <w:rPr>
          <w:sz w:val="28"/>
          <w:szCs w:val="28"/>
        </w:rPr>
        <w:t xml:space="preserve"> </w:t>
      </w:r>
      <w:r w:rsidR="00655E21">
        <w:rPr>
          <w:sz w:val="28"/>
          <w:szCs w:val="28"/>
        </w:rPr>
        <w:t>14</w:t>
      </w:r>
      <w:r w:rsidR="00D33D3D">
        <w:rPr>
          <w:sz w:val="28"/>
          <w:szCs w:val="28"/>
        </w:rPr>
        <w:t>/2/2025</w:t>
      </w:r>
    </w:p>
    <w:p w14:paraId="4533D9AB" w14:textId="77777777" w:rsidR="00867E0C" w:rsidRPr="00867E0C" w:rsidRDefault="00867E0C" w:rsidP="00867E0C">
      <w:pPr>
        <w:ind w:left="360" w:hanging="360"/>
        <w:rPr>
          <w:sz w:val="28"/>
          <w:szCs w:val="28"/>
        </w:rPr>
      </w:pPr>
    </w:p>
    <w:p w14:paraId="71325FE4" w14:textId="48AFA93C" w:rsidR="00867E0C" w:rsidRPr="00867E0C" w:rsidRDefault="00867E0C" w:rsidP="00867E0C">
      <w:pPr>
        <w:ind w:left="360" w:hanging="360"/>
        <w:rPr>
          <w:rFonts w:cs="Arial"/>
          <w:sz w:val="28"/>
          <w:szCs w:val="28"/>
        </w:rPr>
      </w:pPr>
      <w:r w:rsidRPr="00867E0C">
        <w:rPr>
          <w:rFonts w:cs="Arial"/>
          <w:sz w:val="28"/>
          <w:szCs w:val="28"/>
        </w:rPr>
        <w:t>Approved by:</w:t>
      </w:r>
      <w:r w:rsidR="0009051E">
        <w:rPr>
          <w:rFonts w:cs="Arial"/>
          <w:sz w:val="28"/>
          <w:szCs w:val="28"/>
        </w:rPr>
        <w:t xml:space="preserve"> </w:t>
      </w:r>
      <w:r w:rsidR="00655E21">
        <w:rPr>
          <w:rFonts w:cs="Arial"/>
          <w:sz w:val="28"/>
          <w:szCs w:val="28"/>
        </w:rPr>
        <w:t>Ian Maxwell</w:t>
      </w:r>
    </w:p>
    <w:p w14:paraId="3495A7D0" w14:textId="59EBEAAB" w:rsidR="00867E0C" w:rsidRPr="00867E0C" w:rsidRDefault="00867E0C" w:rsidP="00867E0C">
      <w:pPr>
        <w:ind w:left="360" w:hanging="360"/>
        <w:rPr>
          <w:sz w:val="28"/>
          <w:szCs w:val="28"/>
        </w:rPr>
      </w:pPr>
      <w:r w:rsidRPr="00867E0C">
        <w:rPr>
          <w:sz w:val="28"/>
          <w:szCs w:val="28"/>
        </w:rPr>
        <w:t>Position/Job Title:</w:t>
      </w:r>
      <w:r w:rsidR="0009051E">
        <w:rPr>
          <w:sz w:val="28"/>
          <w:szCs w:val="28"/>
        </w:rPr>
        <w:t xml:space="preserve"> </w:t>
      </w:r>
      <w:r w:rsidR="00655E21">
        <w:rPr>
          <w:sz w:val="28"/>
          <w:szCs w:val="28"/>
        </w:rPr>
        <w:t>Director</w:t>
      </w:r>
    </w:p>
    <w:p w14:paraId="6C53A54F" w14:textId="2F0EF506" w:rsidR="00867E0C" w:rsidRPr="00867E0C" w:rsidRDefault="00867E0C" w:rsidP="00867E0C">
      <w:pPr>
        <w:ind w:left="360" w:hanging="360"/>
        <w:rPr>
          <w:sz w:val="28"/>
          <w:szCs w:val="28"/>
        </w:rPr>
      </w:pPr>
      <w:r w:rsidRPr="00867E0C">
        <w:rPr>
          <w:sz w:val="28"/>
          <w:szCs w:val="28"/>
        </w:rPr>
        <w:t>Date:</w:t>
      </w:r>
      <w:r w:rsidR="00D33D3D">
        <w:rPr>
          <w:sz w:val="28"/>
          <w:szCs w:val="28"/>
        </w:rPr>
        <w:t xml:space="preserve"> </w:t>
      </w:r>
      <w:r w:rsidR="00655E21">
        <w:rPr>
          <w:sz w:val="28"/>
          <w:szCs w:val="28"/>
        </w:rPr>
        <w:t>14</w:t>
      </w:r>
      <w:r w:rsidR="00D33D3D">
        <w:rPr>
          <w:sz w:val="28"/>
          <w:szCs w:val="28"/>
        </w:rPr>
        <w:t>/2/2025</w:t>
      </w:r>
    </w:p>
    <w:p w14:paraId="5FF9C43A" w14:textId="77777777" w:rsidR="00867E0C" w:rsidRPr="00867E0C" w:rsidRDefault="00867E0C" w:rsidP="00867E0C">
      <w:pPr>
        <w:ind w:left="360" w:hanging="360"/>
        <w:rPr>
          <w:b/>
          <w:sz w:val="28"/>
        </w:rPr>
      </w:pPr>
    </w:p>
    <w:p w14:paraId="0BE9E115" w14:textId="77777777" w:rsidR="00867E0C" w:rsidRPr="00867E0C" w:rsidRDefault="00867E0C" w:rsidP="00867E0C">
      <w:pPr>
        <w:rPr>
          <w:sz w:val="28"/>
          <w:szCs w:val="28"/>
        </w:rPr>
      </w:pPr>
    </w:p>
    <w:sectPr w:rsidR="00867E0C" w:rsidRPr="00867E0C" w:rsidSect="008E0885">
      <w:footerReference w:type="even" r:id="rId24"/>
      <w:footerReference w:type="default" r:id="rId25"/>
      <w:pgSz w:w="12240" w:h="15840"/>
      <w:pgMar w:top="1134" w:right="1151" w:bottom="1134" w:left="11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cNeill, Niamh" w:date="2025-02-19T10:13:00Z" w:initials="NM">
    <w:p w14:paraId="02E527F8" w14:textId="77777777" w:rsidR="00752FBB" w:rsidRDefault="00752FBB" w:rsidP="00752FBB">
      <w:pPr>
        <w:pStyle w:val="CommentText"/>
      </w:pPr>
      <w:r>
        <w:rPr>
          <w:rStyle w:val="CommentReference"/>
        </w:rPr>
        <w:annotationRef/>
      </w:r>
      <w:r>
        <w:t>Please expand on what the activities and programmes are that will be impacted. It is not clear what these are in the Evidence section of the screening</w:t>
      </w:r>
    </w:p>
  </w:comment>
  <w:comment w:id="2" w:author="Yeates, David" w:date="2025-02-19T14:16:00Z" w:initials="DY">
    <w:p w14:paraId="797F9CDE" w14:textId="77777777" w:rsidR="00B91804" w:rsidRDefault="00B91804" w:rsidP="00B91804">
      <w:pPr>
        <w:pStyle w:val="CommentText"/>
      </w:pPr>
      <w:r>
        <w:rPr>
          <w:rStyle w:val="CommentReference"/>
        </w:rPr>
        <w:annotationRef/>
      </w:r>
      <w:r>
        <w:t>And how will it impact on the section 75 category?</w:t>
      </w:r>
    </w:p>
  </w:comment>
  <w:comment w:id="3" w:author="McNeill, Niamh" w:date="2025-02-19T10:13:00Z" w:initials="NM">
    <w:p w14:paraId="5679FF11" w14:textId="099A80E8" w:rsidR="00752FBB" w:rsidRDefault="00752FBB" w:rsidP="00752FBB">
      <w:pPr>
        <w:pStyle w:val="CommentText"/>
      </w:pPr>
      <w:r>
        <w:rPr>
          <w:rStyle w:val="CommentReference"/>
        </w:rPr>
        <w:annotationRef/>
      </w:r>
      <w:r>
        <w:t>AS  above</w:t>
      </w:r>
    </w:p>
  </w:comment>
  <w:comment w:id="4" w:author="McNeill, Niamh" w:date="2025-02-19T10:15:00Z" w:initials="NM">
    <w:p w14:paraId="4367E639" w14:textId="77777777" w:rsidR="00752FBB" w:rsidRDefault="00752FBB" w:rsidP="00752FBB">
      <w:pPr>
        <w:pStyle w:val="CommentText"/>
      </w:pPr>
      <w:r>
        <w:rPr>
          <w:rStyle w:val="CommentReference"/>
        </w:rPr>
        <w:annotationRef/>
      </w:r>
      <w:r>
        <w:t>Please expand on what the proposed positive action measures are that will be impacted. It is not clear what these are in the Evidence section of the screening</w:t>
      </w:r>
    </w:p>
  </w:comment>
  <w:comment w:id="5" w:author="Yeates, David" w:date="2025-02-19T14:17:00Z" w:initials="DY">
    <w:p w14:paraId="6C8E26CC" w14:textId="77777777" w:rsidR="00B91804" w:rsidRDefault="00B91804" w:rsidP="00B91804">
      <w:pPr>
        <w:pStyle w:val="CommentText"/>
      </w:pPr>
      <w:r>
        <w:rPr>
          <w:rStyle w:val="CommentReference"/>
        </w:rPr>
        <w:annotationRef/>
      </w:r>
      <w:r>
        <w:t>And how will it impact on the section 75 category?</w:t>
      </w:r>
    </w:p>
  </w:comment>
  <w:comment w:id="6" w:author="McNeill, Niamh" w:date="2025-02-19T10:16:00Z" w:initials="NM">
    <w:p w14:paraId="4F533680" w14:textId="19275739" w:rsidR="00752FBB" w:rsidRDefault="00752FBB" w:rsidP="00752FBB">
      <w:pPr>
        <w:pStyle w:val="CommentText"/>
      </w:pPr>
      <w:r>
        <w:rPr>
          <w:rStyle w:val="CommentReference"/>
        </w:rPr>
        <w:annotationRef/>
      </w:r>
      <w:r>
        <w:t>As above</w:t>
      </w:r>
    </w:p>
  </w:comment>
  <w:comment w:id="7" w:author="McNeill, Niamh" w:date="2025-02-19T10:19:00Z" w:initials="NM">
    <w:p w14:paraId="04D5D547" w14:textId="77777777" w:rsidR="00752FBB" w:rsidRDefault="00752FBB" w:rsidP="00752FBB">
      <w:pPr>
        <w:pStyle w:val="CommentText"/>
      </w:pPr>
      <w:r>
        <w:rPr>
          <w:rStyle w:val="CommentReference"/>
        </w:rPr>
        <w:annotationRef/>
      </w:r>
      <w:r>
        <w:t>As above</w:t>
      </w:r>
    </w:p>
  </w:comment>
  <w:comment w:id="8" w:author="McNeill, Niamh" w:date="2025-02-19T10:17:00Z" w:initials="NM">
    <w:p w14:paraId="3CD7DD1F" w14:textId="233BA9A4" w:rsidR="00752FBB" w:rsidRDefault="00752FBB" w:rsidP="00752FBB">
      <w:pPr>
        <w:pStyle w:val="CommentText"/>
      </w:pPr>
      <w:r>
        <w:rPr>
          <w:rStyle w:val="CommentReference"/>
        </w:rPr>
        <w:annotationRef/>
      </w:r>
      <w:r>
        <w:t>As above</w:t>
      </w:r>
    </w:p>
  </w:comment>
  <w:comment w:id="9" w:author="McNeill, Niamh" w:date="2025-02-19T10:20:00Z" w:initials="NM">
    <w:p w14:paraId="6715C6A2" w14:textId="77777777" w:rsidR="00752FBB" w:rsidRDefault="00752FBB" w:rsidP="00752FBB">
      <w:pPr>
        <w:pStyle w:val="CommentText"/>
      </w:pPr>
      <w:r>
        <w:rPr>
          <w:rStyle w:val="CommentReference"/>
        </w:rPr>
        <w:annotationRef/>
      </w:r>
      <w:r>
        <w:t>As above</w:t>
      </w:r>
    </w:p>
  </w:comment>
  <w:comment w:id="10" w:author="McNeill, Niamh" w:date="2025-02-19T10:22:00Z" w:initials="NM">
    <w:p w14:paraId="384CE3DF" w14:textId="77777777" w:rsidR="006B420D" w:rsidRDefault="006B420D" w:rsidP="006B420D">
      <w:pPr>
        <w:pStyle w:val="CommentText"/>
      </w:pPr>
      <w:r>
        <w:rPr>
          <w:rStyle w:val="CommentReference"/>
        </w:rPr>
        <w:annotationRef/>
      </w:r>
      <w:r>
        <w:t>Please ask INI to expand on the rationale for this statement</w:t>
      </w:r>
    </w:p>
  </w:comment>
  <w:comment w:id="11" w:author="McNeill, Niamh" w:date="2025-02-19T10:22:00Z" w:initials="NM">
    <w:p w14:paraId="466696CE" w14:textId="77777777" w:rsidR="006B420D" w:rsidRDefault="006B420D" w:rsidP="006B420D">
      <w:pPr>
        <w:pStyle w:val="CommentText"/>
      </w:pPr>
      <w:r>
        <w:rPr>
          <w:rStyle w:val="CommentReference"/>
        </w:rPr>
        <w:annotationRef/>
      </w:r>
      <w:r>
        <w:t>As above</w:t>
      </w:r>
    </w:p>
  </w:comment>
  <w:comment w:id="12" w:author="McNeill, Niamh" w:date="2025-02-19T10:23:00Z" w:initials="NM">
    <w:p w14:paraId="56220254" w14:textId="77777777" w:rsidR="006B420D" w:rsidRDefault="006B420D" w:rsidP="006B420D">
      <w:pPr>
        <w:pStyle w:val="CommentText"/>
      </w:pPr>
      <w:r>
        <w:rPr>
          <w:rStyle w:val="CommentReference"/>
        </w:rPr>
        <w:annotationRef/>
      </w:r>
      <w:r>
        <w:t>As above</w:t>
      </w:r>
    </w:p>
  </w:comment>
  <w:comment w:id="13" w:author="Yeates, David" w:date="2025-02-19T14:52:00Z" w:initials="DY">
    <w:p w14:paraId="559235C7" w14:textId="77777777" w:rsidR="00052D63" w:rsidRDefault="00052D63" w:rsidP="00052D63">
      <w:pPr>
        <w:pStyle w:val="CommentText"/>
      </w:pPr>
      <w:r>
        <w:rPr>
          <w:rStyle w:val="CommentReference"/>
        </w:rPr>
        <w:annotationRef/>
      </w:r>
      <w:r>
        <w:t>expanded to include that the Capital Shortfall could be mitigated against by a possible increase to FTC and Shared Prosperity Fund Bids as well as the opportunity to bid for additional Capital in year.</w:t>
      </w:r>
    </w:p>
    <w:p w14:paraId="43555F27" w14:textId="77777777" w:rsidR="00052D63" w:rsidRDefault="00052D63" w:rsidP="00052D6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527F8" w15:done="0"/>
  <w15:commentEx w15:paraId="797F9CDE" w15:paraIdParent="02E527F8" w15:done="0"/>
  <w15:commentEx w15:paraId="5679FF11" w15:done="0"/>
  <w15:commentEx w15:paraId="4367E639" w15:done="0"/>
  <w15:commentEx w15:paraId="6C8E26CC" w15:paraIdParent="4367E639" w15:done="0"/>
  <w15:commentEx w15:paraId="4F533680" w15:done="0"/>
  <w15:commentEx w15:paraId="04D5D547" w15:done="0"/>
  <w15:commentEx w15:paraId="3CD7DD1F" w15:done="0"/>
  <w15:commentEx w15:paraId="6715C6A2" w15:done="0"/>
  <w15:commentEx w15:paraId="384CE3DF" w15:done="0"/>
  <w15:commentEx w15:paraId="466696CE" w15:done="0"/>
  <w15:commentEx w15:paraId="56220254" w15:done="0"/>
  <w15:commentEx w15:paraId="43555F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83788C" w16cex:dateUtc="2025-02-19T10:13:00Z"/>
  <w16cex:commentExtensible w16cex:durableId="64E65639" w16cex:dateUtc="2025-02-19T14:16:00Z"/>
  <w16cex:commentExtensible w16cex:durableId="340FA289" w16cex:dateUtc="2025-02-19T10:13:00Z"/>
  <w16cex:commentExtensible w16cex:durableId="77715CF9" w16cex:dateUtc="2025-02-19T10:15:00Z"/>
  <w16cex:commentExtensible w16cex:durableId="5DCB28FA" w16cex:dateUtc="2025-02-19T14:17:00Z"/>
  <w16cex:commentExtensible w16cex:durableId="56EA2B93" w16cex:dateUtc="2025-02-19T10:16:00Z"/>
  <w16cex:commentExtensible w16cex:durableId="6B2033BF" w16cex:dateUtc="2025-02-19T10:19:00Z"/>
  <w16cex:commentExtensible w16cex:durableId="06518118" w16cex:dateUtc="2025-02-19T10:17:00Z"/>
  <w16cex:commentExtensible w16cex:durableId="6774F309" w16cex:dateUtc="2025-02-19T10:20:00Z"/>
  <w16cex:commentExtensible w16cex:durableId="42B3CC24" w16cex:dateUtc="2025-02-19T10:22:00Z"/>
  <w16cex:commentExtensible w16cex:durableId="5C6B2BD8" w16cex:dateUtc="2025-02-19T10:22:00Z"/>
  <w16cex:commentExtensible w16cex:durableId="4E059B8B" w16cex:dateUtc="2025-02-19T10:23:00Z"/>
  <w16cex:commentExtensible w16cex:durableId="0EE8128B" w16cex:dateUtc="2025-02-19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527F8" w16cid:durableId="1883788C"/>
  <w16cid:commentId w16cid:paraId="797F9CDE" w16cid:durableId="64E65639"/>
  <w16cid:commentId w16cid:paraId="5679FF11" w16cid:durableId="340FA289"/>
  <w16cid:commentId w16cid:paraId="4367E639" w16cid:durableId="77715CF9"/>
  <w16cid:commentId w16cid:paraId="6C8E26CC" w16cid:durableId="5DCB28FA"/>
  <w16cid:commentId w16cid:paraId="4F533680" w16cid:durableId="56EA2B93"/>
  <w16cid:commentId w16cid:paraId="04D5D547" w16cid:durableId="6B2033BF"/>
  <w16cid:commentId w16cid:paraId="3CD7DD1F" w16cid:durableId="06518118"/>
  <w16cid:commentId w16cid:paraId="6715C6A2" w16cid:durableId="6774F309"/>
  <w16cid:commentId w16cid:paraId="384CE3DF" w16cid:durableId="42B3CC24"/>
  <w16cid:commentId w16cid:paraId="466696CE" w16cid:durableId="5C6B2BD8"/>
  <w16cid:commentId w16cid:paraId="56220254" w16cid:durableId="4E059B8B"/>
  <w16cid:commentId w16cid:paraId="43555F27" w16cid:durableId="0EE812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F766" w14:textId="77777777" w:rsidR="00993A92" w:rsidRDefault="00993A92">
      <w:r>
        <w:separator/>
      </w:r>
    </w:p>
  </w:endnote>
  <w:endnote w:type="continuationSeparator" w:id="0">
    <w:p w14:paraId="7B3C755C" w14:textId="77777777" w:rsidR="00993A92" w:rsidRDefault="0099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F6F6" w14:textId="77777777" w:rsidR="000815E3" w:rsidRDefault="000815E3" w:rsidP="008E0885">
    <w:pPr>
      <w:pStyle w:val="Footer"/>
      <w:framePr w:wrap="around" w:vAnchor="text" w:hAnchor="margin" w:xAlign="right" w:y="1"/>
      <w:rPr>
        <w:rStyle w:val="PageNumber"/>
      </w:rPr>
    </w:pPr>
  </w:p>
  <w:p w14:paraId="0E4E083F" w14:textId="77777777" w:rsidR="000815E3" w:rsidRDefault="000815E3" w:rsidP="008E08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251426"/>
      <w:docPartObj>
        <w:docPartGallery w:val="Page Numbers (Bottom of Page)"/>
        <w:docPartUnique/>
      </w:docPartObj>
    </w:sdtPr>
    <w:sdtEndPr>
      <w:rPr>
        <w:rFonts w:ascii="Calibri" w:hAnsi="Calibri" w:cs="Calibri"/>
        <w:b/>
        <w:bCs/>
        <w:noProof/>
        <w:color w:val="002060"/>
      </w:rPr>
    </w:sdtEndPr>
    <w:sdtContent>
      <w:p w14:paraId="7333D80C" w14:textId="46915B54" w:rsidR="00444BE8" w:rsidRPr="00874223" w:rsidRDefault="00444BE8">
        <w:pPr>
          <w:pStyle w:val="Footer"/>
          <w:jc w:val="center"/>
          <w:rPr>
            <w:rFonts w:ascii="Calibri" w:hAnsi="Calibri" w:cs="Calibri"/>
            <w:b/>
            <w:bCs/>
            <w:color w:val="002060"/>
          </w:rPr>
        </w:pPr>
        <w:r w:rsidRPr="00874223">
          <w:rPr>
            <w:rFonts w:ascii="Calibri" w:hAnsi="Calibri" w:cs="Calibri"/>
            <w:b/>
            <w:bCs/>
            <w:color w:val="002060"/>
          </w:rPr>
          <w:fldChar w:fldCharType="begin"/>
        </w:r>
        <w:r w:rsidRPr="00874223">
          <w:rPr>
            <w:rFonts w:ascii="Calibri" w:hAnsi="Calibri" w:cs="Calibri"/>
            <w:b/>
            <w:bCs/>
            <w:color w:val="002060"/>
          </w:rPr>
          <w:instrText xml:space="preserve"> PAGE   \* MERGEFORMAT </w:instrText>
        </w:r>
        <w:r w:rsidRPr="00874223">
          <w:rPr>
            <w:rFonts w:ascii="Calibri" w:hAnsi="Calibri" w:cs="Calibri"/>
            <w:b/>
            <w:bCs/>
            <w:color w:val="002060"/>
          </w:rPr>
          <w:fldChar w:fldCharType="separate"/>
        </w:r>
        <w:r w:rsidRPr="00874223">
          <w:rPr>
            <w:rFonts w:ascii="Calibri" w:hAnsi="Calibri" w:cs="Calibri"/>
            <w:b/>
            <w:bCs/>
            <w:noProof/>
            <w:color w:val="002060"/>
          </w:rPr>
          <w:t>2</w:t>
        </w:r>
        <w:r w:rsidRPr="00874223">
          <w:rPr>
            <w:rFonts w:ascii="Calibri" w:hAnsi="Calibri" w:cs="Calibri"/>
            <w:b/>
            <w:bCs/>
            <w:noProof/>
            <w:color w:val="002060"/>
          </w:rPr>
          <w:fldChar w:fldCharType="end"/>
        </w:r>
      </w:p>
    </w:sdtContent>
  </w:sdt>
  <w:p w14:paraId="5A61DA8E" w14:textId="77777777" w:rsidR="000815E3" w:rsidRDefault="000815E3" w:rsidP="008E08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DA5C" w14:textId="77777777" w:rsidR="00993A92" w:rsidRDefault="00993A92">
      <w:r>
        <w:separator/>
      </w:r>
    </w:p>
  </w:footnote>
  <w:footnote w:type="continuationSeparator" w:id="0">
    <w:p w14:paraId="1D8B2B5F" w14:textId="77777777" w:rsidR="00993A92" w:rsidRDefault="00993A92">
      <w:r>
        <w:continuationSeparator/>
      </w:r>
    </w:p>
  </w:footnote>
  <w:footnote w:id="1">
    <w:p w14:paraId="1656F891" w14:textId="77777777" w:rsidR="00461E25" w:rsidRDefault="00461E25" w:rsidP="00461E25">
      <w:pPr>
        <w:pStyle w:val="FootnoteText"/>
      </w:pPr>
      <w:r>
        <w:rPr>
          <w:rStyle w:val="FootnoteReference"/>
        </w:rPr>
        <w:footnoteRef/>
      </w:r>
      <w:r>
        <w:t xml:space="preserve"> </w:t>
      </w:r>
      <w:hyperlink r:id="rId1" w:history="1">
        <w:r w:rsidRPr="00AE2852">
          <w:rPr>
            <w:rFonts w:ascii="Arial" w:hAnsi="Arial" w:cs="Arial"/>
            <w:bCs/>
            <w:color w:val="0000FF"/>
            <w:u w:val="single"/>
          </w:rPr>
          <w:t>Fair Employment Monitoring Report No.30 (equalityni.org)</w:t>
        </w:r>
      </w:hyperlink>
      <w:r w:rsidRPr="00AE2852">
        <w:rPr>
          <w:rFonts w:ascii="Arial" w:hAnsi="Arial" w:cs="Arial"/>
          <w:bCs/>
        </w:rPr>
        <w:t>.</w:t>
      </w:r>
    </w:p>
  </w:footnote>
  <w:footnote w:id="2">
    <w:p w14:paraId="218A7D2A" w14:textId="77777777" w:rsidR="00461E25" w:rsidRPr="00FC6361" w:rsidRDefault="00461E25" w:rsidP="00461E25">
      <w:pPr>
        <w:pStyle w:val="FootnoteText"/>
        <w:rPr>
          <w:rFonts w:ascii="Arial" w:hAnsi="Arial" w:cs="Arial"/>
        </w:rPr>
      </w:pPr>
      <w:r w:rsidRPr="00FC6361">
        <w:rPr>
          <w:rStyle w:val="FootnoteReference"/>
          <w:rFonts w:ascii="Arial" w:hAnsi="Arial" w:cs="Arial"/>
        </w:rPr>
        <w:footnoteRef/>
      </w:r>
      <w:r w:rsidRPr="00FC6361">
        <w:rPr>
          <w:rFonts w:ascii="Arial" w:hAnsi="Arial" w:cs="Arial"/>
        </w:rPr>
        <w:t xml:space="preserve"> </w:t>
      </w:r>
      <w:hyperlink r:id="rId2" w:history="1">
        <w:r w:rsidRPr="00AE2852">
          <w:rPr>
            <w:rFonts w:ascii="Arial" w:hAnsi="Arial" w:cs="Arial"/>
            <w:color w:val="0000FF"/>
            <w:u w:val="single"/>
          </w:rPr>
          <w:t>NIMDM17- with ns.pdf (nisra.gov.uk)</w:t>
        </w:r>
      </w:hyperlink>
      <w:r w:rsidRPr="00AE2852">
        <w:rPr>
          <w:rFonts w:ascii="Arial" w:hAnsi="Arial" w:cs="Arial"/>
        </w:rPr>
        <w:t>.</w:t>
      </w:r>
    </w:p>
  </w:footnote>
  <w:footnote w:id="3">
    <w:p w14:paraId="3C9EA688" w14:textId="77777777" w:rsidR="0000054D" w:rsidRPr="00AD2135" w:rsidRDefault="0000054D" w:rsidP="0000054D">
      <w:pPr>
        <w:pStyle w:val="FootnoteText"/>
        <w:rPr>
          <w:rFonts w:ascii="Arial" w:hAnsi="Arial" w:cs="Arial"/>
        </w:rPr>
      </w:pPr>
      <w:r w:rsidRPr="00AD2135">
        <w:rPr>
          <w:rStyle w:val="FootnoteReference"/>
          <w:rFonts w:ascii="Arial" w:hAnsi="Arial" w:cs="Arial"/>
        </w:rPr>
        <w:footnoteRef/>
      </w:r>
      <w:r w:rsidRPr="00AD2135">
        <w:rPr>
          <w:rFonts w:ascii="Arial" w:hAnsi="Arial" w:cs="Arial"/>
        </w:rPr>
        <w:t xml:space="preserve"> </w:t>
      </w:r>
      <w:hyperlink r:id="rId3" w:history="1">
        <w:r w:rsidRPr="00E01EDF">
          <w:rPr>
            <w:rStyle w:val="Hyperlink"/>
            <w:rFonts w:ascii="Arial" w:hAnsi="Arial" w:cs="Arial"/>
          </w:rPr>
          <w:t>https://www.equalityni.org/Footer-Links/News/Delivering-Equality/32nd-Fair-Employment-Monitoring-Report-published</w:t>
        </w:r>
      </w:hyperlink>
      <w:r>
        <w:rPr>
          <w:rFonts w:ascii="Arial" w:hAnsi="Arial" w:cs="Arial"/>
        </w:rPr>
        <w:t>.</w:t>
      </w:r>
    </w:p>
  </w:footnote>
  <w:footnote w:id="4">
    <w:p w14:paraId="2D67965C" w14:textId="77777777" w:rsidR="0000054D" w:rsidRDefault="0000054D" w:rsidP="0000054D">
      <w:pPr>
        <w:pStyle w:val="FootnoteText"/>
      </w:pPr>
      <w:r>
        <w:rPr>
          <w:rStyle w:val="FootnoteReference"/>
        </w:rPr>
        <w:footnoteRef/>
      </w:r>
      <w:r>
        <w:t xml:space="preserve"> </w:t>
      </w:r>
      <w:hyperlink r:id="rId4" w:history="1">
        <w:r w:rsidRPr="002C56FE">
          <w:rPr>
            <w:rStyle w:val="Hyperlink"/>
            <w:rFonts w:ascii="Arial" w:hAnsi="Arial" w:cs="Arial"/>
          </w:rPr>
          <w:t>Equality Commission - Statement on Key Inequalities in Employment in Northern Ireland (May 2018)</w:t>
        </w:r>
      </w:hyperlink>
      <w:r>
        <w:rPr>
          <w:rFonts w:ascii="Arial" w:hAnsi="Arial" w:cs="Arial"/>
        </w:rPr>
        <w:t>.</w:t>
      </w:r>
    </w:p>
  </w:footnote>
  <w:footnote w:id="5">
    <w:p w14:paraId="2767A897" w14:textId="77777777" w:rsidR="00695F2A" w:rsidRDefault="00695F2A" w:rsidP="00695F2A">
      <w:pPr>
        <w:pStyle w:val="FootnoteText"/>
      </w:pPr>
      <w:r>
        <w:rPr>
          <w:rStyle w:val="FootnoteReference"/>
        </w:rPr>
        <w:footnoteRef/>
      </w:r>
      <w:r>
        <w:t xml:space="preserve"> </w:t>
      </w:r>
      <w:hyperlink r:id="rId5" w:history="1">
        <w:r w:rsidRPr="003C345D">
          <w:rPr>
            <w:rStyle w:val="Hyperlink"/>
            <w:rFonts w:ascii="Arial" w:hAnsi="Arial" w:cs="Arial"/>
          </w:rPr>
          <w:t>Comparing Migrant Grant Integration in Ireland and Northern Ireland</w:t>
        </w:r>
      </w:hyperlink>
      <w:r>
        <w:rPr>
          <w:rFonts w:ascii="Arial" w:hAnsi="Arial" w:cs="Arial"/>
        </w:rPr>
        <w:t>.</w:t>
      </w:r>
    </w:p>
  </w:footnote>
  <w:footnote w:id="6">
    <w:p w14:paraId="4EBB6060" w14:textId="77777777" w:rsidR="00695F2A" w:rsidRDefault="00695F2A" w:rsidP="00695F2A">
      <w:pPr>
        <w:pStyle w:val="FootnoteText"/>
      </w:pPr>
      <w:r>
        <w:rPr>
          <w:rStyle w:val="FootnoteReference"/>
        </w:rPr>
        <w:footnoteRef/>
      </w:r>
      <w:r>
        <w:t xml:space="preserve"> </w:t>
      </w:r>
      <w:hyperlink r:id="rId6" w:history="1">
        <w:r w:rsidRPr="002F6F1B">
          <w:rPr>
            <w:rStyle w:val="Hyperlink"/>
            <w:rFonts w:ascii="Arial" w:hAnsi="Arial" w:cs="Arial"/>
          </w:rPr>
          <w:t>Northern Ireland Migration Labour and Skills Final - Analytical Services Research - DfE</w:t>
        </w:r>
      </w:hyperlink>
      <w:r>
        <w:rPr>
          <w:rFonts w:ascii="Arial" w:hAnsi="Arial" w:cs="Arial"/>
        </w:rPr>
        <w:t xml:space="preserve"> March 2018.</w:t>
      </w:r>
    </w:p>
  </w:footnote>
  <w:footnote w:id="7">
    <w:p w14:paraId="083EF1F8" w14:textId="77777777" w:rsidR="00525220" w:rsidRDefault="00525220" w:rsidP="00525220">
      <w:pPr>
        <w:pStyle w:val="FootnoteText"/>
      </w:pPr>
      <w:r>
        <w:rPr>
          <w:rStyle w:val="FootnoteReference"/>
        </w:rPr>
        <w:footnoteRef/>
      </w:r>
      <w:r>
        <w:t xml:space="preserve"> </w:t>
      </w:r>
      <w:hyperlink r:id="rId7" w:history="1">
        <w:r w:rsidRPr="00606A16">
          <w:rPr>
            <w:rStyle w:val="Hyperlink"/>
            <w:rFonts w:ascii="Arial" w:hAnsi="Arial" w:cs="Arial"/>
          </w:rPr>
          <w:t>DfE Research - Older People Inequalities in Northern Ireland - Skills System</w:t>
        </w:r>
      </w:hyperlink>
      <w:r>
        <w:rPr>
          <w:rFonts w:ascii="Arial" w:hAnsi="Arial" w:cs="Arial"/>
        </w:rPr>
        <w:t>.</w:t>
      </w:r>
    </w:p>
  </w:footnote>
  <w:footnote w:id="8">
    <w:p w14:paraId="71D57E20" w14:textId="77777777" w:rsidR="00525220" w:rsidRDefault="00525220" w:rsidP="00525220">
      <w:pPr>
        <w:pStyle w:val="FootnoteText"/>
      </w:pPr>
      <w:r>
        <w:rPr>
          <w:rStyle w:val="FootnoteReference"/>
        </w:rPr>
        <w:footnoteRef/>
      </w:r>
      <w:r>
        <w:t xml:space="preserve"> </w:t>
      </w:r>
      <w:hyperlink r:id="rId8" w:history="1">
        <w:r w:rsidRPr="00161847">
          <w:rPr>
            <w:rFonts w:ascii="Arial" w:hAnsi="Arial" w:cs="Arial"/>
            <w:bCs/>
            <w:color w:val="0000FF"/>
            <w:u w:val="single"/>
          </w:rPr>
          <w:t>Northern Ireland Labour Force Survey – Young People Not in Education, Employment or Training (NEET) | Department for the Economy (economy-ni.gov.uk)</w:t>
        </w:r>
      </w:hyperlink>
      <w:r>
        <w:rPr>
          <w:rFonts w:ascii="Arial" w:hAnsi="Arial" w:cs="Arial"/>
          <w:bCs/>
        </w:rPr>
        <w:t>.</w:t>
      </w:r>
    </w:p>
  </w:footnote>
  <w:footnote w:id="9">
    <w:p w14:paraId="14556201" w14:textId="77777777" w:rsidR="00525220" w:rsidRDefault="00525220" w:rsidP="00525220">
      <w:pPr>
        <w:pStyle w:val="FootnoteText"/>
      </w:pPr>
      <w:r>
        <w:rPr>
          <w:rStyle w:val="FootnoteReference"/>
        </w:rPr>
        <w:footnoteRef/>
      </w:r>
      <w:r>
        <w:t xml:space="preserve"> </w:t>
      </w:r>
      <w:hyperlink r:id="rId9" w:history="1">
        <w:r w:rsidRPr="000C60F0">
          <w:rPr>
            <w:rStyle w:val="Hyperlink"/>
            <w:rFonts w:ascii="Arial" w:hAnsi="Arial" w:cs="Arial"/>
          </w:rPr>
          <w:t>Family and Childcare Trust - 2016 Election Factsheet</w:t>
        </w:r>
      </w:hyperlink>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742962"/>
    <w:multiLevelType w:val="hybridMultilevel"/>
    <w:tmpl w:val="8E2E134C"/>
    <w:lvl w:ilvl="0" w:tplc="9A7AD95E">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B4FE8"/>
    <w:multiLevelType w:val="hybridMultilevel"/>
    <w:tmpl w:val="C2F0F4B4"/>
    <w:lvl w:ilvl="0" w:tplc="B68E1E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E64E5"/>
    <w:multiLevelType w:val="singleLevel"/>
    <w:tmpl w:val="E20229AA"/>
    <w:lvl w:ilvl="0">
      <w:start w:val="1"/>
      <w:numFmt w:val="lowerLetter"/>
      <w:lvlText w:val="(%1)"/>
      <w:lvlJc w:val="left"/>
      <w:pPr>
        <w:tabs>
          <w:tab w:val="num" w:pos="720"/>
        </w:tabs>
        <w:ind w:left="720" w:hanging="720"/>
      </w:pPr>
      <w:rPr>
        <w:rFonts w:hint="default"/>
      </w:rPr>
    </w:lvl>
  </w:abstractNum>
  <w:abstractNum w:abstractNumId="4" w15:restartNumberingAfterBreak="0">
    <w:nsid w:val="216E3439"/>
    <w:multiLevelType w:val="hybridMultilevel"/>
    <w:tmpl w:val="5350A684"/>
    <w:lvl w:ilvl="0" w:tplc="0AA83338">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808DC"/>
    <w:multiLevelType w:val="hybridMultilevel"/>
    <w:tmpl w:val="206C58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F97911"/>
    <w:multiLevelType w:val="hybridMultilevel"/>
    <w:tmpl w:val="4AE477F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E5D72"/>
    <w:multiLevelType w:val="hybridMultilevel"/>
    <w:tmpl w:val="2FD2DBFA"/>
    <w:lvl w:ilvl="0" w:tplc="247AAB5A">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B1981"/>
    <w:multiLevelType w:val="hybridMultilevel"/>
    <w:tmpl w:val="51D01778"/>
    <w:lvl w:ilvl="0" w:tplc="5D2A74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224217"/>
    <w:multiLevelType w:val="hybridMultilevel"/>
    <w:tmpl w:val="6058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C383C"/>
    <w:multiLevelType w:val="hybridMultilevel"/>
    <w:tmpl w:val="42B46570"/>
    <w:lvl w:ilvl="0" w:tplc="D02A89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E542E"/>
    <w:multiLevelType w:val="hybridMultilevel"/>
    <w:tmpl w:val="402888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DB0E5A"/>
    <w:multiLevelType w:val="hybridMultilevel"/>
    <w:tmpl w:val="8864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3D75C9"/>
    <w:multiLevelType w:val="hybridMultilevel"/>
    <w:tmpl w:val="DD66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95E6E"/>
    <w:multiLevelType w:val="hybridMultilevel"/>
    <w:tmpl w:val="C278E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3770169">
    <w:abstractNumId w:val="19"/>
  </w:num>
  <w:num w:numId="2" w16cid:durableId="1564608502">
    <w:abstractNumId w:val="16"/>
  </w:num>
  <w:num w:numId="3" w16cid:durableId="1847091142">
    <w:abstractNumId w:val="13"/>
  </w:num>
  <w:num w:numId="4" w16cid:durableId="544029576">
    <w:abstractNumId w:val="17"/>
  </w:num>
  <w:num w:numId="5" w16cid:durableId="340201515">
    <w:abstractNumId w:val="0"/>
  </w:num>
  <w:num w:numId="6" w16cid:durableId="908419660">
    <w:abstractNumId w:val="11"/>
  </w:num>
  <w:num w:numId="7" w16cid:durableId="782574927">
    <w:abstractNumId w:val="9"/>
  </w:num>
  <w:num w:numId="8" w16cid:durableId="60369258">
    <w:abstractNumId w:val="4"/>
  </w:num>
  <w:num w:numId="9" w16cid:durableId="1873300950">
    <w:abstractNumId w:val="3"/>
  </w:num>
  <w:num w:numId="10" w16cid:durableId="1178547150">
    <w:abstractNumId w:val="7"/>
  </w:num>
  <w:num w:numId="11" w16cid:durableId="2025863120">
    <w:abstractNumId w:val="8"/>
  </w:num>
  <w:num w:numId="12" w16cid:durableId="898830795">
    <w:abstractNumId w:val="14"/>
  </w:num>
  <w:num w:numId="13" w16cid:durableId="1742872548">
    <w:abstractNumId w:val="5"/>
  </w:num>
  <w:num w:numId="14" w16cid:durableId="1215239289">
    <w:abstractNumId w:val="6"/>
  </w:num>
  <w:num w:numId="15" w16cid:durableId="1759015327">
    <w:abstractNumId w:val="18"/>
  </w:num>
  <w:num w:numId="16" w16cid:durableId="1000280613">
    <w:abstractNumId w:val="15"/>
  </w:num>
  <w:num w:numId="17" w16cid:durableId="1524899780">
    <w:abstractNumId w:val="10"/>
  </w:num>
  <w:num w:numId="18" w16cid:durableId="218244560">
    <w:abstractNumId w:val="2"/>
  </w:num>
  <w:num w:numId="19" w16cid:durableId="479999659">
    <w:abstractNumId w:val="1"/>
  </w:num>
  <w:num w:numId="20" w16cid:durableId="20092145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Neill, Niamh">
    <w15:presenceInfo w15:providerId="AD" w15:userId="S::Niamh.McNeill@economy-ni.gov.uk::2bc85eba-5987-4100-abba-b47bcf542bea"/>
  </w15:person>
  <w15:person w15:author="Yeates, David">
    <w15:presenceInfo w15:providerId="AD" w15:userId="S::David.Yeates@economy-ni.gov.uk::911ca06d-a4db-4828-9369-37e063db84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50"/>
    <w:rsid w:val="0000054D"/>
    <w:rsid w:val="000024C6"/>
    <w:rsid w:val="000030A3"/>
    <w:rsid w:val="0000567D"/>
    <w:rsid w:val="00010134"/>
    <w:rsid w:val="000128E5"/>
    <w:rsid w:val="000135B1"/>
    <w:rsid w:val="00015349"/>
    <w:rsid w:val="00015753"/>
    <w:rsid w:val="00020074"/>
    <w:rsid w:val="000213F6"/>
    <w:rsid w:val="0002441F"/>
    <w:rsid w:val="000258F5"/>
    <w:rsid w:val="0002630E"/>
    <w:rsid w:val="00030CE4"/>
    <w:rsid w:val="000321D6"/>
    <w:rsid w:val="00032308"/>
    <w:rsid w:val="000332E0"/>
    <w:rsid w:val="00035BD6"/>
    <w:rsid w:val="00036E19"/>
    <w:rsid w:val="00042A9F"/>
    <w:rsid w:val="00043723"/>
    <w:rsid w:val="00046FDC"/>
    <w:rsid w:val="00052D63"/>
    <w:rsid w:val="00054932"/>
    <w:rsid w:val="00056BB7"/>
    <w:rsid w:val="000573F5"/>
    <w:rsid w:val="00063570"/>
    <w:rsid w:val="00063A9A"/>
    <w:rsid w:val="00070E40"/>
    <w:rsid w:val="000718A8"/>
    <w:rsid w:val="00076CD3"/>
    <w:rsid w:val="000774FC"/>
    <w:rsid w:val="000815E3"/>
    <w:rsid w:val="00081767"/>
    <w:rsid w:val="00081E69"/>
    <w:rsid w:val="00081F49"/>
    <w:rsid w:val="00087FD8"/>
    <w:rsid w:val="00090518"/>
    <w:rsid w:val="0009051E"/>
    <w:rsid w:val="00096C5E"/>
    <w:rsid w:val="000A5F8C"/>
    <w:rsid w:val="000A783A"/>
    <w:rsid w:val="000B020F"/>
    <w:rsid w:val="000B0F34"/>
    <w:rsid w:val="000B3844"/>
    <w:rsid w:val="000B6D6D"/>
    <w:rsid w:val="000B762F"/>
    <w:rsid w:val="000C3298"/>
    <w:rsid w:val="000C4A9A"/>
    <w:rsid w:val="000D1D31"/>
    <w:rsid w:val="000D7AAE"/>
    <w:rsid w:val="000E6339"/>
    <w:rsid w:val="000E7377"/>
    <w:rsid w:val="000E7C6D"/>
    <w:rsid w:val="000F5380"/>
    <w:rsid w:val="00102CBC"/>
    <w:rsid w:val="00107DC4"/>
    <w:rsid w:val="00116AB1"/>
    <w:rsid w:val="00117047"/>
    <w:rsid w:val="00122657"/>
    <w:rsid w:val="00123032"/>
    <w:rsid w:val="00125E2D"/>
    <w:rsid w:val="00126E24"/>
    <w:rsid w:val="001307D7"/>
    <w:rsid w:val="001376D9"/>
    <w:rsid w:val="001510D0"/>
    <w:rsid w:val="00153234"/>
    <w:rsid w:val="00156C83"/>
    <w:rsid w:val="001627BD"/>
    <w:rsid w:val="00162ED4"/>
    <w:rsid w:val="00164E27"/>
    <w:rsid w:val="001679A1"/>
    <w:rsid w:val="0017142A"/>
    <w:rsid w:val="001741AD"/>
    <w:rsid w:val="00175A77"/>
    <w:rsid w:val="00175F4A"/>
    <w:rsid w:val="0018272F"/>
    <w:rsid w:val="00183B83"/>
    <w:rsid w:val="00191DDB"/>
    <w:rsid w:val="00193C9F"/>
    <w:rsid w:val="001A2530"/>
    <w:rsid w:val="001A285C"/>
    <w:rsid w:val="001A2E0C"/>
    <w:rsid w:val="001A2EFC"/>
    <w:rsid w:val="001A4AC7"/>
    <w:rsid w:val="001A516C"/>
    <w:rsid w:val="001A6508"/>
    <w:rsid w:val="001A6FA6"/>
    <w:rsid w:val="001B07C3"/>
    <w:rsid w:val="001B2A9C"/>
    <w:rsid w:val="001B2C6B"/>
    <w:rsid w:val="001B67F0"/>
    <w:rsid w:val="001B7435"/>
    <w:rsid w:val="001C1ED0"/>
    <w:rsid w:val="001C2328"/>
    <w:rsid w:val="001C2A82"/>
    <w:rsid w:val="001D1C8E"/>
    <w:rsid w:val="001D3C2B"/>
    <w:rsid w:val="001D7975"/>
    <w:rsid w:val="001F4007"/>
    <w:rsid w:val="001F7BDB"/>
    <w:rsid w:val="002001B2"/>
    <w:rsid w:val="00201342"/>
    <w:rsid w:val="002126DF"/>
    <w:rsid w:val="00215B32"/>
    <w:rsid w:val="00217883"/>
    <w:rsid w:val="00220CB4"/>
    <w:rsid w:val="00225F79"/>
    <w:rsid w:val="00226464"/>
    <w:rsid w:val="00231F76"/>
    <w:rsid w:val="0023343B"/>
    <w:rsid w:val="00235C01"/>
    <w:rsid w:val="00237420"/>
    <w:rsid w:val="00250CB1"/>
    <w:rsid w:val="00254BA2"/>
    <w:rsid w:val="0025604E"/>
    <w:rsid w:val="002574F5"/>
    <w:rsid w:val="002709B8"/>
    <w:rsid w:val="00274FC2"/>
    <w:rsid w:val="00275AB3"/>
    <w:rsid w:val="00282762"/>
    <w:rsid w:val="002866E0"/>
    <w:rsid w:val="002909AD"/>
    <w:rsid w:val="0029133F"/>
    <w:rsid w:val="002917A6"/>
    <w:rsid w:val="0029208F"/>
    <w:rsid w:val="002923D2"/>
    <w:rsid w:val="002A11DF"/>
    <w:rsid w:val="002A3537"/>
    <w:rsid w:val="002A5A16"/>
    <w:rsid w:val="002A5D11"/>
    <w:rsid w:val="002A6E19"/>
    <w:rsid w:val="002B005D"/>
    <w:rsid w:val="002B007E"/>
    <w:rsid w:val="002B1E22"/>
    <w:rsid w:val="002B3063"/>
    <w:rsid w:val="002B5665"/>
    <w:rsid w:val="002B73EA"/>
    <w:rsid w:val="002C2911"/>
    <w:rsid w:val="002C31DE"/>
    <w:rsid w:val="002C4619"/>
    <w:rsid w:val="002C6FE3"/>
    <w:rsid w:val="002C725E"/>
    <w:rsid w:val="002C7801"/>
    <w:rsid w:val="002E0C35"/>
    <w:rsid w:val="002E2161"/>
    <w:rsid w:val="002E34C7"/>
    <w:rsid w:val="002E7A8A"/>
    <w:rsid w:val="002F10C0"/>
    <w:rsid w:val="002F71CA"/>
    <w:rsid w:val="00303448"/>
    <w:rsid w:val="00304B00"/>
    <w:rsid w:val="0030628F"/>
    <w:rsid w:val="0030697B"/>
    <w:rsid w:val="00307DAD"/>
    <w:rsid w:val="00310056"/>
    <w:rsid w:val="003114B6"/>
    <w:rsid w:val="0031329D"/>
    <w:rsid w:val="00317F8F"/>
    <w:rsid w:val="00323631"/>
    <w:rsid w:val="00323962"/>
    <w:rsid w:val="00324EA0"/>
    <w:rsid w:val="00342831"/>
    <w:rsid w:val="00350CD0"/>
    <w:rsid w:val="0035176A"/>
    <w:rsid w:val="003518A6"/>
    <w:rsid w:val="00355399"/>
    <w:rsid w:val="00357467"/>
    <w:rsid w:val="00357B35"/>
    <w:rsid w:val="00361E2A"/>
    <w:rsid w:val="003653E9"/>
    <w:rsid w:val="0037606D"/>
    <w:rsid w:val="00380CD6"/>
    <w:rsid w:val="003817DA"/>
    <w:rsid w:val="00383FCE"/>
    <w:rsid w:val="003840F6"/>
    <w:rsid w:val="003916B8"/>
    <w:rsid w:val="003916EB"/>
    <w:rsid w:val="0039349D"/>
    <w:rsid w:val="00394326"/>
    <w:rsid w:val="003A00BF"/>
    <w:rsid w:val="003A11E3"/>
    <w:rsid w:val="003A6641"/>
    <w:rsid w:val="003B0995"/>
    <w:rsid w:val="003B186A"/>
    <w:rsid w:val="003B6991"/>
    <w:rsid w:val="003B7A14"/>
    <w:rsid w:val="003C2979"/>
    <w:rsid w:val="003C5D01"/>
    <w:rsid w:val="003C7515"/>
    <w:rsid w:val="003D0412"/>
    <w:rsid w:val="003E0025"/>
    <w:rsid w:val="003E4419"/>
    <w:rsid w:val="003E4867"/>
    <w:rsid w:val="003E5E2B"/>
    <w:rsid w:val="003F05F9"/>
    <w:rsid w:val="003F2370"/>
    <w:rsid w:val="003F2F7E"/>
    <w:rsid w:val="003F3FC9"/>
    <w:rsid w:val="003F484E"/>
    <w:rsid w:val="003F6D3C"/>
    <w:rsid w:val="0041161F"/>
    <w:rsid w:val="00411B55"/>
    <w:rsid w:val="0041492B"/>
    <w:rsid w:val="00415D11"/>
    <w:rsid w:val="00416F12"/>
    <w:rsid w:val="004352D3"/>
    <w:rsid w:val="00436A5A"/>
    <w:rsid w:val="00437057"/>
    <w:rsid w:val="004425AB"/>
    <w:rsid w:val="00443B0D"/>
    <w:rsid w:val="0044448D"/>
    <w:rsid w:val="00444BE8"/>
    <w:rsid w:val="00444D1E"/>
    <w:rsid w:val="00445AD6"/>
    <w:rsid w:val="004500DE"/>
    <w:rsid w:val="004514B6"/>
    <w:rsid w:val="004524C1"/>
    <w:rsid w:val="00452F56"/>
    <w:rsid w:val="004544B3"/>
    <w:rsid w:val="00455154"/>
    <w:rsid w:val="0046009F"/>
    <w:rsid w:val="00461A31"/>
    <w:rsid w:val="00461E25"/>
    <w:rsid w:val="00467DB8"/>
    <w:rsid w:val="004732FB"/>
    <w:rsid w:val="0047631D"/>
    <w:rsid w:val="00476592"/>
    <w:rsid w:val="004814C4"/>
    <w:rsid w:val="004839FF"/>
    <w:rsid w:val="004845A2"/>
    <w:rsid w:val="0048554F"/>
    <w:rsid w:val="00487477"/>
    <w:rsid w:val="00487509"/>
    <w:rsid w:val="00492549"/>
    <w:rsid w:val="00494C41"/>
    <w:rsid w:val="00494D08"/>
    <w:rsid w:val="00495F9F"/>
    <w:rsid w:val="00497F3D"/>
    <w:rsid w:val="004A03E5"/>
    <w:rsid w:val="004A0913"/>
    <w:rsid w:val="004A45E7"/>
    <w:rsid w:val="004A5D6C"/>
    <w:rsid w:val="004B03C4"/>
    <w:rsid w:val="004B215D"/>
    <w:rsid w:val="004B474F"/>
    <w:rsid w:val="004C0486"/>
    <w:rsid w:val="004C2912"/>
    <w:rsid w:val="004D04D7"/>
    <w:rsid w:val="004D24B5"/>
    <w:rsid w:val="004D36F5"/>
    <w:rsid w:val="004D3CB5"/>
    <w:rsid w:val="004E21E0"/>
    <w:rsid w:val="004E3589"/>
    <w:rsid w:val="004E5B14"/>
    <w:rsid w:val="004E794C"/>
    <w:rsid w:val="004F1D92"/>
    <w:rsid w:val="004F456E"/>
    <w:rsid w:val="00504E17"/>
    <w:rsid w:val="00505EE6"/>
    <w:rsid w:val="0050681E"/>
    <w:rsid w:val="00507874"/>
    <w:rsid w:val="00507D7F"/>
    <w:rsid w:val="00511CD1"/>
    <w:rsid w:val="00513115"/>
    <w:rsid w:val="00525220"/>
    <w:rsid w:val="00526875"/>
    <w:rsid w:val="00526B94"/>
    <w:rsid w:val="00527807"/>
    <w:rsid w:val="005409C4"/>
    <w:rsid w:val="005423D9"/>
    <w:rsid w:val="0055304C"/>
    <w:rsid w:val="00553437"/>
    <w:rsid w:val="005548DD"/>
    <w:rsid w:val="00571317"/>
    <w:rsid w:val="00573FB9"/>
    <w:rsid w:val="00576920"/>
    <w:rsid w:val="00581411"/>
    <w:rsid w:val="00584495"/>
    <w:rsid w:val="005848EE"/>
    <w:rsid w:val="005855C8"/>
    <w:rsid w:val="00593487"/>
    <w:rsid w:val="005A1428"/>
    <w:rsid w:val="005A57D3"/>
    <w:rsid w:val="005A5B76"/>
    <w:rsid w:val="005B12FC"/>
    <w:rsid w:val="005B1E54"/>
    <w:rsid w:val="005B3018"/>
    <w:rsid w:val="005B4B60"/>
    <w:rsid w:val="005B500C"/>
    <w:rsid w:val="005B5E86"/>
    <w:rsid w:val="005B61F0"/>
    <w:rsid w:val="005C045E"/>
    <w:rsid w:val="005C100C"/>
    <w:rsid w:val="005D0C62"/>
    <w:rsid w:val="005D54C2"/>
    <w:rsid w:val="005E10ED"/>
    <w:rsid w:val="005E170B"/>
    <w:rsid w:val="005E197E"/>
    <w:rsid w:val="005E252C"/>
    <w:rsid w:val="005E357C"/>
    <w:rsid w:val="005E5CFC"/>
    <w:rsid w:val="005F0C5B"/>
    <w:rsid w:val="005F102C"/>
    <w:rsid w:val="005F179B"/>
    <w:rsid w:val="005F5878"/>
    <w:rsid w:val="006043C5"/>
    <w:rsid w:val="00604C92"/>
    <w:rsid w:val="00604E8D"/>
    <w:rsid w:val="00605C46"/>
    <w:rsid w:val="00605E89"/>
    <w:rsid w:val="00606470"/>
    <w:rsid w:val="00614629"/>
    <w:rsid w:val="00616C49"/>
    <w:rsid w:val="00616DB6"/>
    <w:rsid w:val="00623285"/>
    <w:rsid w:val="00630EB4"/>
    <w:rsid w:val="00631345"/>
    <w:rsid w:val="0063587F"/>
    <w:rsid w:val="00635FED"/>
    <w:rsid w:val="00637E89"/>
    <w:rsid w:val="00647699"/>
    <w:rsid w:val="00647DB7"/>
    <w:rsid w:val="00654758"/>
    <w:rsid w:val="00655E21"/>
    <w:rsid w:val="0065702D"/>
    <w:rsid w:val="006619EA"/>
    <w:rsid w:val="00663159"/>
    <w:rsid w:val="0066357B"/>
    <w:rsid w:val="00664783"/>
    <w:rsid w:val="00670BD2"/>
    <w:rsid w:val="00671585"/>
    <w:rsid w:val="00674250"/>
    <w:rsid w:val="00674EB2"/>
    <w:rsid w:val="00676113"/>
    <w:rsid w:val="00676926"/>
    <w:rsid w:val="006772A5"/>
    <w:rsid w:val="00677784"/>
    <w:rsid w:val="0068002C"/>
    <w:rsid w:val="00680168"/>
    <w:rsid w:val="0068097A"/>
    <w:rsid w:val="006813AE"/>
    <w:rsid w:val="006813F1"/>
    <w:rsid w:val="006943E6"/>
    <w:rsid w:val="00695F2A"/>
    <w:rsid w:val="006A3A64"/>
    <w:rsid w:val="006A4054"/>
    <w:rsid w:val="006A564E"/>
    <w:rsid w:val="006A75E1"/>
    <w:rsid w:val="006B0368"/>
    <w:rsid w:val="006B420D"/>
    <w:rsid w:val="006B457D"/>
    <w:rsid w:val="006B58D8"/>
    <w:rsid w:val="006C0F79"/>
    <w:rsid w:val="006C153C"/>
    <w:rsid w:val="006C4E50"/>
    <w:rsid w:val="006C6C58"/>
    <w:rsid w:val="006C7A28"/>
    <w:rsid w:val="006D16B1"/>
    <w:rsid w:val="006D6A52"/>
    <w:rsid w:val="006E4979"/>
    <w:rsid w:val="006E6049"/>
    <w:rsid w:val="006E6F41"/>
    <w:rsid w:val="006F099E"/>
    <w:rsid w:val="006F2052"/>
    <w:rsid w:val="006F2588"/>
    <w:rsid w:val="006F31D4"/>
    <w:rsid w:val="006F5E48"/>
    <w:rsid w:val="007056B3"/>
    <w:rsid w:val="00710BBC"/>
    <w:rsid w:val="007116A7"/>
    <w:rsid w:val="0071322F"/>
    <w:rsid w:val="007134E1"/>
    <w:rsid w:val="00715A7D"/>
    <w:rsid w:val="0072032C"/>
    <w:rsid w:val="00722D22"/>
    <w:rsid w:val="007258A6"/>
    <w:rsid w:val="0072786C"/>
    <w:rsid w:val="0073456F"/>
    <w:rsid w:val="0073559C"/>
    <w:rsid w:val="00735BBB"/>
    <w:rsid w:val="00735C15"/>
    <w:rsid w:val="00741BB1"/>
    <w:rsid w:val="00741C40"/>
    <w:rsid w:val="0074274B"/>
    <w:rsid w:val="007428E5"/>
    <w:rsid w:val="00742B50"/>
    <w:rsid w:val="00743EC8"/>
    <w:rsid w:val="007448F5"/>
    <w:rsid w:val="007459DF"/>
    <w:rsid w:val="00752FBB"/>
    <w:rsid w:val="00754F75"/>
    <w:rsid w:val="00755C38"/>
    <w:rsid w:val="00761888"/>
    <w:rsid w:val="00764C2E"/>
    <w:rsid w:val="007711D8"/>
    <w:rsid w:val="0077157A"/>
    <w:rsid w:val="0077228A"/>
    <w:rsid w:val="00784E56"/>
    <w:rsid w:val="00786AE3"/>
    <w:rsid w:val="007920F0"/>
    <w:rsid w:val="00792170"/>
    <w:rsid w:val="00793179"/>
    <w:rsid w:val="0079322D"/>
    <w:rsid w:val="0079372D"/>
    <w:rsid w:val="007A09DC"/>
    <w:rsid w:val="007A249A"/>
    <w:rsid w:val="007A3D77"/>
    <w:rsid w:val="007A5058"/>
    <w:rsid w:val="007B2C04"/>
    <w:rsid w:val="007C00E8"/>
    <w:rsid w:val="007C6947"/>
    <w:rsid w:val="007C74D3"/>
    <w:rsid w:val="007D0471"/>
    <w:rsid w:val="007D21EE"/>
    <w:rsid w:val="007D3015"/>
    <w:rsid w:val="007D46DC"/>
    <w:rsid w:val="007D72F7"/>
    <w:rsid w:val="007E03C8"/>
    <w:rsid w:val="007E1C53"/>
    <w:rsid w:val="007E40DB"/>
    <w:rsid w:val="007E5F44"/>
    <w:rsid w:val="007F3045"/>
    <w:rsid w:val="007F6B37"/>
    <w:rsid w:val="007F7E4E"/>
    <w:rsid w:val="00802414"/>
    <w:rsid w:val="00803738"/>
    <w:rsid w:val="0080560D"/>
    <w:rsid w:val="00807BE4"/>
    <w:rsid w:val="008112A7"/>
    <w:rsid w:val="00814AD7"/>
    <w:rsid w:val="00815231"/>
    <w:rsid w:val="00815DB2"/>
    <w:rsid w:val="008173A1"/>
    <w:rsid w:val="008207CD"/>
    <w:rsid w:val="008210AA"/>
    <w:rsid w:val="00822FBC"/>
    <w:rsid w:val="00823517"/>
    <w:rsid w:val="00824084"/>
    <w:rsid w:val="00824F7F"/>
    <w:rsid w:val="008255E2"/>
    <w:rsid w:val="0082677D"/>
    <w:rsid w:val="00831718"/>
    <w:rsid w:val="00831CD6"/>
    <w:rsid w:val="00835261"/>
    <w:rsid w:val="00835ACD"/>
    <w:rsid w:val="008371B6"/>
    <w:rsid w:val="00837F64"/>
    <w:rsid w:val="0084168C"/>
    <w:rsid w:val="008427AD"/>
    <w:rsid w:val="008434BE"/>
    <w:rsid w:val="008445F8"/>
    <w:rsid w:val="00856D2C"/>
    <w:rsid w:val="00857925"/>
    <w:rsid w:val="00862D39"/>
    <w:rsid w:val="00867E0C"/>
    <w:rsid w:val="0087037A"/>
    <w:rsid w:val="00873C15"/>
    <w:rsid w:val="00874223"/>
    <w:rsid w:val="008845BA"/>
    <w:rsid w:val="008927A8"/>
    <w:rsid w:val="00892E47"/>
    <w:rsid w:val="00893032"/>
    <w:rsid w:val="00894469"/>
    <w:rsid w:val="00896599"/>
    <w:rsid w:val="008A327E"/>
    <w:rsid w:val="008A488B"/>
    <w:rsid w:val="008A5556"/>
    <w:rsid w:val="008A5DFE"/>
    <w:rsid w:val="008B2709"/>
    <w:rsid w:val="008C2475"/>
    <w:rsid w:val="008C24CA"/>
    <w:rsid w:val="008C26AA"/>
    <w:rsid w:val="008C431C"/>
    <w:rsid w:val="008D0B02"/>
    <w:rsid w:val="008D6117"/>
    <w:rsid w:val="008E0885"/>
    <w:rsid w:val="008E55F3"/>
    <w:rsid w:val="008F002F"/>
    <w:rsid w:val="008F38AA"/>
    <w:rsid w:val="008F5396"/>
    <w:rsid w:val="00900684"/>
    <w:rsid w:val="00900B3D"/>
    <w:rsid w:val="00901E34"/>
    <w:rsid w:val="00910F09"/>
    <w:rsid w:val="009111CC"/>
    <w:rsid w:val="00911FAF"/>
    <w:rsid w:val="00913FB1"/>
    <w:rsid w:val="009210A7"/>
    <w:rsid w:val="0092742E"/>
    <w:rsid w:val="0092784A"/>
    <w:rsid w:val="009278B2"/>
    <w:rsid w:val="009279AF"/>
    <w:rsid w:val="009321C2"/>
    <w:rsid w:val="0093564D"/>
    <w:rsid w:val="0093658E"/>
    <w:rsid w:val="0093757D"/>
    <w:rsid w:val="009378E5"/>
    <w:rsid w:val="0094044A"/>
    <w:rsid w:val="00941D74"/>
    <w:rsid w:val="00941FFA"/>
    <w:rsid w:val="00943EE0"/>
    <w:rsid w:val="00947684"/>
    <w:rsid w:val="0095742A"/>
    <w:rsid w:val="00962DE1"/>
    <w:rsid w:val="00965456"/>
    <w:rsid w:val="0096635A"/>
    <w:rsid w:val="00967CE9"/>
    <w:rsid w:val="00971CB8"/>
    <w:rsid w:val="009723C3"/>
    <w:rsid w:val="009746CC"/>
    <w:rsid w:val="00975D3F"/>
    <w:rsid w:val="009766A6"/>
    <w:rsid w:val="0098000B"/>
    <w:rsid w:val="0098192B"/>
    <w:rsid w:val="00982ECD"/>
    <w:rsid w:val="009850D2"/>
    <w:rsid w:val="009901D6"/>
    <w:rsid w:val="00993A92"/>
    <w:rsid w:val="009951D1"/>
    <w:rsid w:val="009969B4"/>
    <w:rsid w:val="009A0DEA"/>
    <w:rsid w:val="009A2807"/>
    <w:rsid w:val="009A799C"/>
    <w:rsid w:val="009B24C4"/>
    <w:rsid w:val="009B27BF"/>
    <w:rsid w:val="009B30C9"/>
    <w:rsid w:val="009B49E2"/>
    <w:rsid w:val="009B508A"/>
    <w:rsid w:val="009B6AEC"/>
    <w:rsid w:val="009C03DC"/>
    <w:rsid w:val="009C0BFD"/>
    <w:rsid w:val="009C2F0D"/>
    <w:rsid w:val="009C5184"/>
    <w:rsid w:val="009D153A"/>
    <w:rsid w:val="009D2658"/>
    <w:rsid w:val="009D7AF9"/>
    <w:rsid w:val="009E38A6"/>
    <w:rsid w:val="009E7C4E"/>
    <w:rsid w:val="009F0071"/>
    <w:rsid w:val="009F16C5"/>
    <w:rsid w:val="009F25EB"/>
    <w:rsid w:val="009F33A4"/>
    <w:rsid w:val="009F4564"/>
    <w:rsid w:val="00A00B95"/>
    <w:rsid w:val="00A02609"/>
    <w:rsid w:val="00A03DD7"/>
    <w:rsid w:val="00A06299"/>
    <w:rsid w:val="00A10925"/>
    <w:rsid w:val="00A11818"/>
    <w:rsid w:val="00A12675"/>
    <w:rsid w:val="00A2083A"/>
    <w:rsid w:val="00A2235E"/>
    <w:rsid w:val="00A2251E"/>
    <w:rsid w:val="00A232B0"/>
    <w:rsid w:val="00A23C16"/>
    <w:rsid w:val="00A31BC9"/>
    <w:rsid w:val="00A32B24"/>
    <w:rsid w:val="00A36BED"/>
    <w:rsid w:val="00A44126"/>
    <w:rsid w:val="00A4524B"/>
    <w:rsid w:val="00A45752"/>
    <w:rsid w:val="00A5326A"/>
    <w:rsid w:val="00A5480F"/>
    <w:rsid w:val="00A5573D"/>
    <w:rsid w:val="00A56685"/>
    <w:rsid w:val="00A64856"/>
    <w:rsid w:val="00A65EAF"/>
    <w:rsid w:val="00A70A04"/>
    <w:rsid w:val="00A72F02"/>
    <w:rsid w:val="00A77956"/>
    <w:rsid w:val="00A84827"/>
    <w:rsid w:val="00A85B15"/>
    <w:rsid w:val="00A85B16"/>
    <w:rsid w:val="00A90DD3"/>
    <w:rsid w:val="00AA25AA"/>
    <w:rsid w:val="00AA326C"/>
    <w:rsid w:val="00AA4EBD"/>
    <w:rsid w:val="00AA6A29"/>
    <w:rsid w:val="00AB3E95"/>
    <w:rsid w:val="00AB4690"/>
    <w:rsid w:val="00AB7831"/>
    <w:rsid w:val="00AC05E8"/>
    <w:rsid w:val="00AC4F08"/>
    <w:rsid w:val="00AD4842"/>
    <w:rsid w:val="00AD5AB5"/>
    <w:rsid w:val="00AD5ED6"/>
    <w:rsid w:val="00AD6BE5"/>
    <w:rsid w:val="00AD75EE"/>
    <w:rsid w:val="00AD7B0C"/>
    <w:rsid w:val="00AE640F"/>
    <w:rsid w:val="00AF03AB"/>
    <w:rsid w:val="00AF0683"/>
    <w:rsid w:val="00AF47A3"/>
    <w:rsid w:val="00AF4D1E"/>
    <w:rsid w:val="00AF5057"/>
    <w:rsid w:val="00B04893"/>
    <w:rsid w:val="00B118BF"/>
    <w:rsid w:val="00B1194B"/>
    <w:rsid w:val="00B217E7"/>
    <w:rsid w:val="00B21D2B"/>
    <w:rsid w:val="00B2695B"/>
    <w:rsid w:val="00B27325"/>
    <w:rsid w:val="00B332C4"/>
    <w:rsid w:val="00B36C4B"/>
    <w:rsid w:val="00B4099C"/>
    <w:rsid w:val="00B51710"/>
    <w:rsid w:val="00B529B7"/>
    <w:rsid w:val="00B56AE4"/>
    <w:rsid w:val="00B60AE9"/>
    <w:rsid w:val="00B6166B"/>
    <w:rsid w:val="00B71224"/>
    <w:rsid w:val="00B73858"/>
    <w:rsid w:val="00B73BE0"/>
    <w:rsid w:val="00B836FE"/>
    <w:rsid w:val="00B875BC"/>
    <w:rsid w:val="00B91804"/>
    <w:rsid w:val="00B9297F"/>
    <w:rsid w:val="00BA002C"/>
    <w:rsid w:val="00BA1F5A"/>
    <w:rsid w:val="00BB2CDA"/>
    <w:rsid w:val="00BB40CD"/>
    <w:rsid w:val="00BB53A3"/>
    <w:rsid w:val="00BB708B"/>
    <w:rsid w:val="00BC2A8B"/>
    <w:rsid w:val="00BC4A70"/>
    <w:rsid w:val="00BC650B"/>
    <w:rsid w:val="00BC7418"/>
    <w:rsid w:val="00BC7E53"/>
    <w:rsid w:val="00BD7787"/>
    <w:rsid w:val="00BE07E2"/>
    <w:rsid w:val="00BE6C56"/>
    <w:rsid w:val="00BF1B76"/>
    <w:rsid w:val="00BF3A3B"/>
    <w:rsid w:val="00BF4C40"/>
    <w:rsid w:val="00BF7E87"/>
    <w:rsid w:val="00C00984"/>
    <w:rsid w:val="00C03CB5"/>
    <w:rsid w:val="00C1423A"/>
    <w:rsid w:val="00C16A60"/>
    <w:rsid w:val="00C20DEB"/>
    <w:rsid w:val="00C23F0E"/>
    <w:rsid w:val="00C267C8"/>
    <w:rsid w:val="00C270E2"/>
    <w:rsid w:val="00C32F6F"/>
    <w:rsid w:val="00C362C6"/>
    <w:rsid w:val="00C36376"/>
    <w:rsid w:val="00C529BD"/>
    <w:rsid w:val="00C54E10"/>
    <w:rsid w:val="00C648FA"/>
    <w:rsid w:val="00C71402"/>
    <w:rsid w:val="00C728AA"/>
    <w:rsid w:val="00C72B56"/>
    <w:rsid w:val="00C75CBC"/>
    <w:rsid w:val="00C80CED"/>
    <w:rsid w:val="00C86193"/>
    <w:rsid w:val="00C86C36"/>
    <w:rsid w:val="00C94943"/>
    <w:rsid w:val="00C94CA6"/>
    <w:rsid w:val="00C962EC"/>
    <w:rsid w:val="00CA2A15"/>
    <w:rsid w:val="00CA4E75"/>
    <w:rsid w:val="00CA6F65"/>
    <w:rsid w:val="00CB0FDA"/>
    <w:rsid w:val="00CB2350"/>
    <w:rsid w:val="00CB35A9"/>
    <w:rsid w:val="00CB5874"/>
    <w:rsid w:val="00CC7F86"/>
    <w:rsid w:val="00CD64DC"/>
    <w:rsid w:val="00CD6D44"/>
    <w:rsid w:val="00CD7A7C"/>
    <w:rsid w:val="00CE39E8"/>
    <w:rsid w:val="00CE4EFD"/>
    <w:rsid w:val="00CE752D"/>
    <w:rsid w:val="00CF2D5B"/>
    <w:rsid w:val="00CF2F58"/>
    <w:rsid w:val="00CF5D64"/>
    <w:rsid w:val="00D00BB2"/>
    <w:rsid w:val="00D02CAD"/>
    <w:rsid w:val="00D0325B"/>
    <w:rsid w:val="00D0611D"/>
    <w:rsid w:val="00D079E7"/>
    <w:rsid w:val="00D10A7B"/>
    <w:rsid w:val="00D11DE1"/>
    <w:rsid w:val="00D11F7D"/>
    <w:rsid w:val="00D121F9"/>
    <w:rsid w:val="00D13124"/>
    <w:rsid w:val="00D14700"/>
    <w:rsid w:val="00D20945"/>
    <w:rsid w:val="00D22CDD"/>
    <w:rsid w:val="00D24FA0"/>
    <w:rsid w:val="00D262C6"/>
    <w:rsid w:val="00D2714B"/>
    <w:rsid w:val="00D27742"/>
    <w:rsid w:val="00D27DFF"/>
    <w:rsid w:val="00D307C1"/>
    <w:rsid w:val="00D33098"/>
    <w:rsid w:val="00D3338A"/>
    <w:rsid w:val="00D33D3D"/>
    <w:rsid w:val="00D34D00"/>
    <w:rsid w:val="00D37D8C"/>
    <w:rsid w:val="00D402AE"/>
    <w:rsid w:val="00D43FDF"/>
    <w:rsid w:val="00D51A49"/>
    <w:rsid w:val="00D51CFC"/>
    <w:rsid w:val="00D52697"/>
    <w:rsid w:val="00D553CE"/>
    <w:rsid w:val="00D55A2C"/>
    <w:rsid w:val="00D702E1"/>
    <w:rsid w:val="00D72282"/>
    <w:rsid w:val="00D72C49"/>
    <w:rsid w:val="00D7499E"/>
    <w:rsid w:val="00D771B9"/>
    <w:rsid w:val="00D77E04"/>
    <w:rsid w:val="00D90F2F"/>
    <w:rsid w:val="00D910CD"/>
    <w:rsid w:val="00D92C1E"/>
    <w:rsid w:val="00D94AF9"/>
    <w:rsid w:val="00D958D3"/>
    <w:rsid w:val="00D96379"/>
    <w:rsid w:val="00DA1071"/>
    <w:rsid w:val="00DB13FC"/>
    <w:rsid w:val="00DB1CC7"/>
    <w:rsid w:val="00DC1C6A"/>
    <w:rsid w:val="00DC6CE7"/>
    <w:rsid w:val="00DC7EE3"/>
    <w:rsid w:val="00DC7F5C"/>
    <w:rsid w:val="00DC7F61"/>
    <w:rsid w:val="00DD0143"/>
    <w:rsid w:val="00DD2F1E"/>
    <w:rsid w:val="00DD573D"/>
    <w:rsid w:val="00DD6BBD"/>
    <w:rsid w:val="00DF53AB"/>
    <w:rsid w:val="00DF6EFB"/>
    <w:rsid w:val="00E05200"/>
    <w:rsid w:val="00E062F3"/>
    <w:rsid w:val="00E07843"/>
    <w:rsid w:val="00E1124E"/>
    <w:rsid w:val="00E11978"/>
    <w:rsid w:val="00E13E15"/>
    <w:rsid w:val="00E1578E"/>
    <w:rsid w:val="00E1756B"/>
    <w:rsid w:val="00E20DB2"/>
    <w:rsid w:val="00E20E15"/>
    <w:rsid w:val="00E22619"/>
    <w:rsid w:val="00E22DE0"/>
    <w:rsid w:val="00E23A89"/>
    <w:rsid w:val="00E24AD3"/>
    <w:rsid w:val="00E26401"/>
    <w:rsid w:val="00E27BEE"/>
    <w:rsid w:val="00E31DFF"/>
    <w:rsid w:val="00E32565"/>
    <w:rsid w:val="00E3647F"/>
    <w:rsid w:val="00E42196"/>
    <w:rsid w:val="00E4280C"/>
    <w:rsid w:val="00E43295"/>
    <w:rsid w:val="00E4385F"/>
    <w:rsid w:val="00E43BDA"/>
    <w:rsid w:val="00E47B47"/>
    <w:rsid w:val="00E5010D"/>
    <w:rsid w:val="00E53D86"/>
    <w:rsid w:val="00E5585C"/>
    <w:rsid w:val="00E5638F"/>
    <w:rsid w:val="00E565F4"/>
    <w:rsid w:val="00E56FE8"/>
    <w:rsid w:val="00E635FF"/>
    <w:rsid w:val="00E7313C"/>
    <w:rsid w:val="00E733DE"/>
    <w:rsid w:val="00E74D25"/>
    <w:rsid w:val="00E80BED"/>
    <w:rsid w:val="00E81C13"/>
    <w:rsid w:val="00E842EB"/>
    <w:rsid w:val="00E86FCD"/>
    <w:rsid w:val="00E9290F"/>
    <w:rsid w:val="00E9644D"/>
    <w:rsid w:val="00EA1A9E"/>
    <w:rsid w:val="00EA2EE9"/>
    <w:rsid w:val="00EA501D"/>
    <w:rsid w:val="00EB2A4C"/>
    <w:rsid w:val="00EB4693"/>
    <w:rsid w:val="00EB66A7"/>
    <w:rsid w:val="00EC0E68"/>
    <w:rsid w:val="00EC473B"/>
    <w:rsid w:val="00EC66D1"/>
    <w:rsid w:val="00EC7991"/>
    <w:rsid w:val="00ED0938"/>
    <w:rsid w:val="00ED3836"/>
    <w:rsid w:val="00ED5953"/>
    <w:rsid w:val="00ED66D2"/>
    <w:rsid w:val="00ED7ADA"/>
    <w:rsid w:val="00EE31AF"/>
    <w:rsid w:val="00EE54A2"/>
    <w:rsid w:val="00EE552E"/>
    <w:rsid w:val="00EF34E9"/>
    <w:rsid w:val="00EF4A2D"/>
    <w:rsid w:val="00EF538D"/>
    <w:rsid w:val="00EF72C1"/>
    <w:rsid w:val="00EF7E02"/>
    <w:rsid w:val="00F018D8"/>
    <w:rsid w:val="00F021AF"/>
    <w:rsid w:val="00F02559"/>
    <w:rsid w:val="00F03567"/>
    <w:rsid w:val="00F10E19"/>
    <w:rsid w:val="00F14827"/>
    <w:rsid w:val="00F157B8"/>
    <w:rsid w:val="00F31062"/>
    <w:rsid w:val="00F33885"/>
    <w:rsid w:val="00F34AC5"/>
    <w:rsid w:val="00F4243F"/>
    <w:rsid w:val="00F43620"/>
    <w:rsid w:val="00F463BD"/>
    <w:rsid w:val="00F4724D"/>
    <w:rsid w:val="00F47918"/>
    <w:rsid w:val="00F52AF2"/>
    <w:rsid w:val="00F56716"/>
    <w:rsid w:val="00F609BC"/>
    <w:rsid w:val="00F61818"/>
    <w:rsid w:val="00F61F2C"/>
    <w:rsid w:val="00F63C51"/>
    <w:rsid w:val="00F6578A"/>
    <w:rsid w:val="00F67158"/>
    <w:rsid w:val="00F67FAD"/>
    <w:rsid w:val="00F77479"/>
    <w:rsid w:val="00F84271"/>
    <w:rsid w:val="00F8617F"/>
    <w:rsid w:val="00F95F3A"/>
    <w:rsid w:val="00FA0C80"/>
    <w:rsid w:val="00FA23D0"/>
    <w:rsid w:val="00FA54D5"/>
    <w:rsid w:val="00FA5AFB"/>
    <w:rsid w:val="00FB1F50"/>
    <w:rsid w:val="00FB46A5"/>
    <w:rsid w:val="00FB4823"/>
    <w:rsid w:val="00FB662F"/>
    <w:rsid w:val="00FC5038"/>
    <w:rsid w:val="00FC59CD"/>
    <w:rsid w:val="00FC5DFA"/>
    <w:rsid w:val="00FC7BF3"/>
    <w:rsid w:val="00FD6473"/>
    <w:rsid w:val="00FE0835"/>
    <w:rsid w:val="00FE6D25"/>
    <w:rsid w:val="00FE7AF9"/>
    <w:rsid w:val="00FF0EFB"/>
    <w:rsid w:val="00FF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3E15BC7A"/>
  <w15:docId w15:val="{D6A78C80-F4AB-4B2B-8DF4-5F557071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495"/>
    <w:rPr>
      <w:rFonts w:ascii="Arial" w:hAnsi="Arial"/>
      <w:sz w:val="24"/>
      <w:lang w:eastAsia="en-US"/>
    </w:rPr>
  </w:style>
  <w:style w:type="paragraph" w:styleId="Heading5">
    <w:name w:val="heading 5"/>
    <w:basedOn w:val="Normal"/>
    <w:next w:val="Normal"/>
    <w:qFormat/>
    <w:rsid w:val="006C4E5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4E50"/>
    <w:rPr>
      <w:color w:val="0000FF"/>
      <w:u w:val="single"/>
    </w:rPr>
  </w:style>
  <w:style w:type="paragraph" w:styleId="BodyTextIndent2">
    <w:name w:val="Body Text Indent 2"/>
    <w:basedOn w:val="Normal"/>
    <w:rsid w:val="006C4E50"/>
    <w:pPr>
      <w:ind w:left="1440" w:hanging="360"/>
    </w:pPr>
    <w:rPr>
      <w:sz w:val="28"/>
    </w:rPr>
  </w:style>
  <w:style w:type="paragraph" w:styleId="Footer">
    <w:name w:val="footer"/>
    <w:basedOn w:val="Normal"/>
    <w:link w:val="FooterChar"/>
    <w:uiPriority w:val="99"/>
    <w:rsid w:val="006C4E50"/>
    <w:pPr>
      <w:tabs>
        <w:tab w:val="center" w:pos="4320"/>
        <w:tab w:val="right" w:pos="8640"/>
      </w:tabs>
    </w:pPr>
  </w:style>
  <w:style w:type="character" w:styleId="PageNumber">
    <w:name w:val="page number"/>
    <w:basedOn w:val="DefaultParagraphFont"/>
    <w:rsid w:val="006C4E50"/>
  </w:style>
  <w:style w:type="paragraph" w:styleId="Title">
    <w:name w:val="Title"/>
    <w:basedOn w:val="Normal"/>
    <w:qFormat/>
    <w:rsid w:val="00E733DE"/>
    <w:pPr>
      <w:jc w:val="center"/>
    </w:pPr>
    <w:rPr>
      <w:rFonts w:ascii="Times New Roman" w:hAnsi="Times New Roman"/>
      <w:b/>
      <w:sz w:val="28"/>
    </w:rPr>
  </w:style>
  <w:style w:type="table" w:styleId="TableGrid">
    <w:name w:val="Table Grid"/>
    <w:basedOn w:val="TableNormal"/>
    <w:rsid w:val="00E73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5F8C"/>
    <w:rPr>
      <w:rFonts w:ascii="Tahoma" w:hAnsi="Tahoma" w:cs="Tahoma"/>
      <w:sz w:val="16"/>
      <w:szCs w:val="16"/>
    </w:rPr>
  </w:style>
  <w:style w:type="paragraph" w:customStyle="1" w:styleId="Default">
    <w:name w:val="Default"/>
    <w:rsid w:val="002A11DF"/>
    <w:pPr>
      <w:autoSpaceDE w:val="0"/>
      <w:autoSpaceDN w:val="0"/>
      <w:adjustRightInd w:val="0"/>
    </w:pPr>
    <w:rPr>
      <w:rFonts w:ascii="Myriad Roman" w:hAnsi="Myriad Roman" w:cs="Myriad Roman"/>
      <w:color w:val="000000"/>
      <w:sz w:val="24"/>
      <w:szCs w:val="24"/>
    </w:rPr>
  </w:style>
  <w:style w:type="character" w:customStyle="1" w:styleId="A0">
    <w:name w:val="A0"/>
    <w:uiPriority w:val="99"/>
    <w:rsid w:val="002A11DF"/>
    <w:rPr>
      <w:rFonts w:cs="Myriad Roman"/>
      <w:color w:val="000000"/>
    </w:rPr>
  </w:style>
  <w:style w:type="paragraph" w:styleId="ListParagraph">
    <w:name w:val="List Paragraph"/>
    <w:basedOn w:val="Normal"/>
    <w:uiPriority w:val="34"/>
    <w:qFormat/>
    <w:rsid w:val="001A516C"/>
    <w:pPr>
      <w:ind w:left="720"/>
      <w:contextualSpacing/>
    </w:pPr>
    <w:rPr>
      <w:rFonts w:ascii="Times New Roman" w:hAnsi="Times New Roman"/>
      <w:szCs w:val="24"/>
    </w:rPr>
  </w:style>
  <w:style w:type="character" w:customStyle="1" w:styleId="UnresolvedMention1">
    <w:name w:val="Unresolved Mention1"/>
    <w:basedOn w:val="DefaultParagraphFont"/>
    <w:uiPriority w:val="99"/>
    <w:semiHidden/>
    <w:unhideWhenUsed/>
    <w:rsid w:val="00623285"/>
    <w:rPr>
      <w:color w:val="605E5C"/>
      <w:shd w:val="clear" w:color="auto" w:fill="E1DFDD"/>
    </w:rPr>
  </w:style>
  <w:style w:type="paragraph" w:customStyle="1" w:styleId="m-398419586456572111msolistparagraph">
    <w:name w:val="m_-398419586456572111msolistparagraph"/>
    <w:basedOn w:val="Normal"/>
    <w:rsid w:val="00784E56"/>
    <w:pPr>
      <w:spacing w:before="100" w:beforeAutospacing="1" w:after="100" w:afterAutospacing="1"/>
    </w:pPr>
    <w:rPr>
      <w:rFonts w:ascii="Times New Roman" w:hAnsi="Times New Roman"/>
      <w:szCs w:val="24"/>
      <w:lang w:eastAsia="en-GB"/>
    </w:rPr>
  </w:style>
  <w:style w:type="character" w:styleId="FootnoteReference">
    <w:name w:val="footnote reference"/>
    <w:semiHidden/>
    <w:rsid w:val="004544B3"/>
    <w:rPr>
      <w:vertAlign w:val="superscript"/>
    </w:rPr>
  </w:style>
  <w:style w:type="paragraph" w:styleId="FootnoteText">
    <w:name w:val="footnote text"/>
    <w:basedOn w:val="Normal"/>
    <w:link w:val="FootnoteTextChar"/>
    <w:uiPriority w:val="99"/>
    <w:semiHidden/>
    <w:rsid w:val="004544B3"/>
    <w:rPr>
      <w:rFonts w:ascii="Times New Roman" w:hAnsi="Times New Roman"/>
      <w:sz w:val="20"/>
    </w:rPr>
  </w:style>
  <w:style w:type="character" w:customStyle="1" w:styleId="FootnoteTextChar">
    <w:name w:val="Footnote Text Char"/>
    <w:basedOn w:val="DefaultParagraphFont"/>
    <w:link w:val="FootnoteText"/>
    <w:uiPriority w:val="99"/>
    <w:semiHidden/>
    <w:rsid w:val="004544B3"/>
    <w:rPr>
      <w:lang w:eastAsia="en-US"/>
    </w:rPr>
  </w:style>
  <w:style w:type="paragraph" w:styleId="Revision">
    <w:name w:val="Revision"/>
    <w:hidden/>
    <w:uiPriority w:val="99"/>
    <w:semiHidden/>
    <w:rsid w:val="000A783A"/>
    <w:rPr>
      <w:rFonts w:ascii="Arial" w:hAnsi="Arial"/>
      <w:sz w:val="24"/>
      <w:lang w:eastAsia="en-US"/>
    </w:rPr>
  </w:style>
  <w:style w:type="paragraph" w:styleId="Header">
    <w:name w:val="header"/>
    <w:basedOn w:val="Normal"/>
    <w:link w:val="HeaderChar"/>
    <w:unhideWhenUsed/>
    <w:rsid w:val="007F3045"/>
    <w:pPr>
      <w:tabs>
        <w:tab w:val="center" w:pos="4513"/>
        <w:tab w:val="right" w:pos="9026"/>
      </w:tabs>
    </w:pPr>
  </w:style>
  <w:style w:type="character" w:customStyle="1" w:styleId="HeaderChar">
    <w:name w:val="Header Char"/>
    <w:basedOn w:val="DefaultParagraphFont"/>
    <w:link w:val="Header"/>
    <w:rsid w:val="007F3045"/>
    <w:rPr>
      <w:rFonts w:ascii="Arial" w:hAnsi="Arial"/>
      <w:sz w:val="24"/>
      <w:lang w:eastAsia="en-US"/>
    </w:rPr>
  </w:style>
  <w:style w:type="character" w:customStyle="1" w:styleId="FooterChar">
    <w:name w:val="Footer Char"/>
    <w:basedOn w:val="DefaultParagraphFont"/>
    <w:link w:val="Footer"/>
    <w:uiPriority w:val="99"/>
    <w:rsid w:val="00444BE8"/>
    <w:rPr>
      <w:rFonts w:ascii="Arial" w:hAnsi="Arial"/>
      <w:sz w:val="24"/>
      <w:lang w:eastAsia="en-US"/>
    </w:rPr>
  </w:style>
  <w:style w:type="character" w:styleId="UnresolvedMention">
    <w:name w:val="Unresolved Mention"/>
    <w:basedOn w:val="DefaultParagraphFont"/>
    <w:uiPriority w:val="99"/>
    <w:semiHidden/>
    <w:unhideWhenUsed/>
    <w:rsid w:val="00874223"/>
    <w:rPr>
      <w:color w:val="605E5C"/>
      <w:shd w:val="clear" w:color="auto" w:fill="E1DFDD"/>
    </w:rPr>
  </w:style>
  <w:style w:type="character" w:styleId="CommentReference">
    <w:name w:val="annotation reference"/>
    <w:basedOn w:val="DefaultParagraphFont"/>
    <w:uiPriority w:val="99"/>
    <w:semiHidden/>
    <w:unhideWhenUsed/>
    <w:rsid w:val="00655E21"/>
    <w:rPr>
      <w:sz w:val="16"/>
      <w:szCs w:val="16"/>
    </w:rPr>
  </w:style>
  <w:style w:type="paragraph" w:styleId="CommentText">
    <w:name w:val="annotation text"/>
    <w:basedOn w:val="Normal"/>
    <w:link w:val="CommentTextChar"/>
    <w:uiPriority w:val="99"/>
    <w:unhideWhenUsed/>
    <w:rsid w:val="00655E21"/>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55E21"/>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752FBB"/>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752FBB"/>
    <w:rPr>
      <w:rFonts w:ascii="Arial" w:eastAsiaTheme="minorHAnsi" w:hAnsi="Arial" w:cstheme="minorBidi"/>
      <w:b/>
      <w:bCs/>
      <w:lang w:eastAsia="en-US"/>
    </w:rPr>
  </w:style>
  <w:style w:type="paragraph" w:styleId="NormalWeb">
    <w:name w:val="Normal (Web)"/>
    <w:basedOn w:val="Normal"/>
    <w:semiHidden/>
    <w:unhideWhenUsed/>
    <w:rsid w:val="00D92C1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8819">
      <w:bodyDiv w:val="1"/>
      <w:marLeft w:val="0"/>
      <w:marRight w:val="0"/>
      <w:marTop w:val="0"/>
      <w:marBottom w:val="0"/>
      <w:divBdr>
        <w:top w:val="none" w:sz="0" w:space="0" w:color="auto"/>
        <w:left w:val="none" w:sz="0" w:space="0" w:color="auto"/>
        <w:bottom w:val="none" w:sz="0" w:space="0" w:color="auto"/>
        <w:right w:val="none" w:sz="0" w:space="0" w:color="auto"/>
      </w:divBdr>
    </w:div>
    <w:div w:id="123232485">
      <w:bodyDiv w:val="1"/>
      <w:marLeft w:val="0"/>
      <w:marRight w:val="0"/>
      <w:marTop w:val="0"/>
      <w:marBottom w:val="0"/>
      <w:divBdr>
        <w:top w:val="none" w:sz="0" w:space="0" w:color="auto"/>
        <w:left w:val="none" w:sz="0" w:space="0" w:color="auto"/>
        <w:bottom w:val="none" w:sz="0" w:space="0" w:color="auto"/>
        <w:right w:val="none" w:sz="0" w:space="0" w:color="auto"/>
      </w:divBdr>
    </w:div>
    <w:div w:id="148327698">
      <w:bodyDiv w:val="1"/>
      <w:marLeft w:val="0"/>
      <w:marRight w:val="0"/>
      <w:marTop w:val="0"/>
      <w:marBottom w:val="0"/>
      <w:divBdr>
        <w:top w:val="none" w:sz="0" w:space="0" w:color="auto"/>
        <w:left w:val="none" w:sz="0" w:space="0" w:color="auto"/>
        <w:bottom w:val="none" w:sz="0" w:space="0" w:color="auto"/>
        <w:right w:val="none" w:sz="0" w:space="0" w:color="auto"/>
      </w:divBdr>
    </w:div>
    <w:div w:id="163979163">
      <w:bodyDiv w:val="1"/>
      <w:marLeft w:val="0"/>
      <w:marRight w:val="0"/>
      <w:marTop w:val="0"/>
      <w:marBottom w:val="0"/>
      <w:divBdr>
        <w:top w:val="none" w:sz="0" w:space="0" w:color="auto"/>
        <w:left w:val="none" w:sz="0" w:space="0" w:color="auto"/>
        <w:bottom w:val="none" w:sz="0" w:space="0" w:color="auto"/>
        <w:right w:val="none" w:sz="0" w:space="0" w:color="auto"/>
      </w:divBdr>
    </w:div>
    <w:div w:id="221528491">
      <w:bodyDiv w:val="1"/>
      <w:marLeft w:val="0"/>
      <w:marRight w:val="0"/>
      <w:marTop w:val="0"/>
      <w:marBottom w:val="0"/>
      <w:divBdr>
        <w:top w:val="none" w:sz="0" w:space="0" w:color="auto"/>
        <w:left w:val="none" w:sz="0" w:space="0" w:color="auto"/>
        <w:bottom w:val="none" w:sz="0" w:space="0" w:color="auto"/>
        <w:right w:val="none" w:sz="0" w:space="0" w:color="auto"/>
      </w:divBdr>
    </w:div>
    <w:div w:id="244463218">
      <w:bodyDiv w:val="1"/>
      <w:marLeft w:val="0"/>
      <w:marRight w:val="0"/>
      <w:marTop w:val="0"/>
      <w:marBottom w:val="0"/>
      <w:divBdr>
        <w:top w:val="none" w:sz="0" w:space="0" w:color="auto"/>
        <w:left w:val="none" w:sz="0" w:space="0" w:color="auto"/>
        <w:bottom w:val="none" w:sz="0" w:space="0" w:color="auto"/>
        <w:right w:val="none" w:sz="0" w:space="0" w:color="auto"/>
      </w:divBdr>
    </w:div>
    <w:div w:id="277300440">
      <w:bodyDiv w:val="1"/>
      <w:marLeft w:val="0"/>
      <w:marRight w:val="0"/>
      <w:marTop w:val="0"/>
      <w:marBottom w:val="0"/>
      <w:divBdr>
        <w:top w:val="none" w:sz="0" w:space="0" w:color="auto"/>
        <w:left w:val="none" w:sz="0" w:space="0" w:color="auto"/>
        <w:bottom w:val="none" w:sz="0" w:space="0" w:color="auto"/>
        <w:right w:val="none" w:sz="0" w:space="0" w:color="auto"/>
      </w:divBdr>
      <w:divsChild>
        <w:div w:id="11299901">
          <w:marLeft w:val="446"/>
          <w:marRight w:val="0"/>
          <w:marTop w:val="0"/>
          <w:marBottom w:val="0"/>
          <w:divBdr>
            <w:top w:val="none" w:sz="0" w:space="0" w:color="auto"/>
            <w:left w:val="none" w:sz="0" w:space="0" w:color="auto"/>
            <w:bottom w:val="none" w:sz="0" w:space="0" w:color="auto"/>
            <w:right w:val="none" w:sz="0" w:space="0" w:color="auto"/>
          </w:divBdr>
        </w:div>
      </w:divsChild>
    </w:div>
    <w:div w:id="568925069">
      <w:bodyDiv w:val="1"/>
      <w:marLeft w:val="0"/>
      <w:marRight w:val="0"/>
      <w:marTop w:val="0"/>
      <w:marBottom w:val="0"/>
      <w:divBdr>
        <w:top w:val="none" w:sz="0" w:space="0" w:color="auto"/>
        <w:left w:val="none" w:sz="0" w:space="0" w:color="auto"/>
        <w:bottom w:val="none" w:sz="0" w:space="0" w:color="auto"/>
        <w:right w:val="none" w:sz="0" w:space="0" w:color="auto"/>
      </w:divBdr>
    </w:div>
    <w:div w:id="630404584">
      <w:bodyDiv w:val="1"/>
      <w:marLeft w:val="0"/>
      <w:marRight w:val="0"/>
      <w:marTop w:val="0"/>
      <w:marBottom w:val="0"/>
      <w:divBdr>
        <w:top w:val="none" w:sz="0" w:space="0" w:color="auto"/>
        <w:left w:val="none" w:sz="0" w:space="0" w:color="auto"/>
        <w:bottom w:val="none" w:sz="0" w:space="0" w:color="auto"/>
        <w:right w:val="none" w:sz="0" w:space="0" w:color="auto"/>
      </w:divBdr>
    </w:div>
    <w:div w:id="700665010">
      <w:bodyDiv w:val="1"/>
      <w:marLeft w:val="0"/>
      <w:marRight w:val="0"/>
      <w:marTop w:val="0"/>
      <w:marBottom w:val="0"/>
      <w:divBdr>
        <w:top w:val="none" w:sz="0" w:space="0" w:color="auto"/>
        <w:left w:val="none" w:sz="0" w:space="0" w:color="auto"/>
        <w:bottom w:val="none" w:sz="0" w:space="0" w:color="auto"/>
        <w:right w:val="none" w:sz="0" w:space="0" w:color="auto"/>
      </w:divBdr>
      <w:divsChild>
        <w:div w:id="1758596888">
          <w:marLeft w:val="446"/>
          <w:marRight w:val="0"/>
          <w:marTop w:val="0"/>
          <w:marBottom w:val="0"/>
          <w:divBdr>
            <w:top w:val="none" w:sz="0" w:space="0" w:color="auto"/>
            <w:left w:val="none" w:sz="0" w:space="0" w:color="auto"/>
            <w:bottom w:val="none" w:sz="0" w:space="0" w:color="auto"/>
            <w:right w:val="none" w:sz="0" w:space="0" w:color="auto"/>
          </w:divBdr>
        </w:div>
      </w:divsChild>
    </w:div>
    <w:div w:id="802120724">
      <w:bodyDiv w:val="1"/>
      <w:marLeft w:val="0"/>
      <w:marRight w:val="0"/>
      <w:marTop w:val="0"/>
      <w:marBottom w:val="0"/>
      <w:divBdr>
        <w:top w:val="none" w:sz="0" w:space="0" w:color="auto"/>
        <w:left w:val="none" w:sz="0" w:space="0" w:color="auto"/>
        <w:bottom w:val="none" w:sz="0" w:space="0" w:color="auto"/>
        <w:right w:val="none" w:sz="0" w:space="0" w:color="auto"/>
      </w:divBdr>
    </w:div>
    <w:div w:id="890651885">
      <w:bodyDiv w:val="1"/>
      <w:marLeft w:val="0"/>
      <w:marRight w:val="0"/>
      <w:marTop w:val="0"/>
      <w:marBottom w:val="0"/>
      <w:divBdr>
        <w:top w:val="none" w:sz="0" w:space="0" w:color="auto"/>
        <w:left w:val="none" w:sz="0" w:space="0" w:color="auto"/>
        <w:bottom w:val="none" w:sz="0" w:space="0" w:color="auto"/>
        <w:right w:val="none" w:sz="0" w:space="0" w:color="auto"/>
      </w:divBdr>
      <w:divsChild>
        <w:div w:id="1086343735">
          <w:marLeft w:val="446"/>
          <w:marRight w:val="0"/>
          <w:marTop w:val="0"/>
          <w:marBottom w:val="0"/>
          <w:divBdr>
            <w:top w:val="none" w:sz="0" w:space="0" w:color="auto"/>
            <w:left w:val="none" w:sz="0" w:space="0" w:color="auto"/>
            <w:bottom w:val="none" w:sz="0" w:space="0" w:color="auto"/>
            <w:right w:val="none" w:sz="0" w:space="0" w:color="auto"/>
          </w:divBdr>
        </w:div>
      </w:divsChild>
    </w:div>
    <w:div w:id="929653594">
      <w:bodyDiv w:val="1"/>
      <w:marLeft w:val="0"/>
      <w:marRight w:val="0"/>
      <w:marTop w:val="0"/>
      <w:marBottom w:val="0"/>
      <w:divBdr>
        <w:top w:val="none" w:sz="0" w:space="0" w:color="auto"/>
        <w:left w:val="none" w:sz="0" w:space="0" w:color="auto"/>
        <w:bottom w:val="none" w:sz="0" w:space="0" w:color="auto"/>
        <w:right w:val="none" w:sz="0" w:space="0" w:color="auto"/>
      </w:divBdr>
    </w:div>
    <w:div w:id="948044827">
      <w:bodyDiv w:val="1"/>
      <w:marLeft w:val="0"/>
      <w:marRight w:val="0"/>
      <w:marTop w:val="0"/>
      <w:marBottom w:val="0"/>
      <w:divBdr>
        <w:top w:val="none" w:sz="0" w:space="0" w:color="auto"/>
        <w:left w:val="none" w:sz="0" w:space="0" w:color="auto"/>
        <w:bottom w:val="none" w:sz="0" w:space="0" w:color="auto"/>
        <w:right w:val="none" w:sz="0" w:space="0" w:color="auto"/>
      </w:divBdr>
    </w:div>
    <w:div w:id="1118182463">
      <w:bodyDiv w:val="1"/>
      <w:marLeft w:val="0"/>
      <w:marRight w:val="0"/>
      <w:marTop w:val="0"/>
      <w:marBottom w:val="0"/>
      <w:divBdr>
        <w:top w:val="none" w:sz="0" w:space="0" w:color="auto"/>
        <w:left w:val="none" w:sz="0" w:space="0" w:color="auto"/>
        <w:bottom w:val="none" w:sz="0" w:space="0" w:color="auto"/>
        <w:right w:val="none" w:sz="0" w:space="0" w:color="auto"/>
      </w:divBdr>
    </w:div>
    <w:div w:id="1354724625">
      <w:bodyDiv w:val="1"/>
      <w:marLeft w:val="0"/>
      <w:marRight w:val="0"/>
      <w:marTop w:val="0"/>
      <w:marBottom w:val="0"/>
      <w:divBdr>
        <w:top w:val="none" w:sz="0" w:space="0" w:color="auto"/>
        <w:left w:val="none" w:sz="0" w:space="0" w:color="auto"/>
        <w:bottom w:val="none" w:sz="0" w:space="0" w:color="auto"/>
        <w:right w:val="none" w:sz="0" w:space="0" w:color="auto"/>
      </w:divBdr>
      <w:divsChild>
        <w:div w:id="884636829">
          <w:marLeft w:val="446"/>
          <w:marRight w:val="0"/>
          <w:marTop w:val="0"/>
          <w:marBottom w:val="0"/>
          <w:divBdr>
            <w:top w:val="none" w:sz="0" w:space="0" w:color="auto"/>
            <w:left w:val="none" w:sz="0" w:space="0" w:color="auto"/>
            <w:bottom w:val="none" w:sz="0" w:space="0" w:color="auto"/>
            <w:right w:val="none" w:sz="0" w:space="0" w:color="auto"/>
          </w:divBdr>
        </w:div>
      </w:divsChild>
    </w:div>
    <w:div w:id="1491404986">
      <w:bodyDiv w:val="1"/>
      <w:marLeft w:val="0"/>
      <w:marRight w:val="0"/>
      <w:marTop w:val="0"/>
      <w:marBottom w:val="0"/>
      <w:divBdr>
        <w:top w:val="none" w:sz="0" w:space="0" w:color="auto"/>
        <w:left w:val="none" w:sz="0" w:space="0" w:color="auto"/>
        <w:bottom w:val="none" w:sz="0" w:space="0" w:color="auto"/>
        <w:right w:val="none" w:sz="0" w:space="0" w:color="auto"/>
      </w:divBdr>
    </w:div>
    <w:div w:id="1523862761">
      <w:bodyDiv w:val="1"/>
      <w:marLeft w:val="0"/>
      <w:marRight w:val="0"/>
      <w:marTop w:val="0"/>
      <w:marBottom w:val="0"/>
      <w:divBdr>
        <w:top w:val="none" w:sz="0" w:space="0" w:color="auto"/>
        <w:left w:val="none" w:sz="0" w:space="0" w:color="auto"/>
        <w:bottom w:val="none" w:sz="0" w:space="0" w:color="auto"/>
        <w:right w:val="none" w:sz="0" w:space="0" w:color="auto"/>
      </w:divBdr>
    </w:div>
    <w:div w:id="1563439901">
      <w:bodyDiv w:val="1"/>
      <w:marLeft w:val="0"/>
      <w:marRight w:val="0"/>
      <w:marTop w:val="0"/>
      <w:marBottom w:val="0"/>
      <w:divBdr>
        <w:top w:val="none" w:sz="0" w:space="0" w:color="auto"/>
        <w:left w:val="none" w:sz="0" w:space="0" w:color="auto"/>
        <w:bottom w:val="none" w:sz="0" w:space="0" w:color="auto"/>
        <w:right w:val="none" w:sz="0" w:space="0" w:color="auto"/>
      </w:divBdr>
    </w:div>
    <w:div w:id="1569412862">
      <w:bodyDiv w:val="1"/>
      <w:marLeft w:val="0"/>
      <w:marRight w:val="0"/>
      <w:marTop w:val="0"/>
      <w:marBottom w:val="0"/>
      <w:divBdr>
        <w:top w:val="none" w:sz="0" w:space="0" w:color="auto"/>
        <w:left w:val="none" w:sz="0" w:space="0" w:color="auto"/>
        <w:bottom w:val="none" w:sz="0" w:space="0" w:color="auto"/>
        <w:right w:val="none" w:sz="0" w:space="0" w:color="auto"/>
      </w:divBdr>
    </w:div>
    <w:div w:id="1572883069">
      <w:bodyDiv w:val="1"/>
      <w:marLeft w:val="0"/>
      <w:marRight w:val="0"/>
      <w:marTop w:val="0"/>
      <w:marBottom w:val="0"/>
      <w:divBdr>
        <w:top w:val="none" w:sz="0" w:space="0" w:color="auto"/>
        <w:left w:val="none" w:sz="0" w:space="0" w:color="auto"/>
        <w:bottom w:val="none" w:sz="0" w:space="0" w:color="auto"/>
        <w:right w:val="none" w:sz="0" w:space="0" w:color="auto"/>
      </w:divBdr>
    </w:div>
    <w:div w:id="1574314474">
      <w:bodyDiv w:val="1"/>
      <w:marLeft w:val="0"/>
      <w:marRight w:val="0"/>
      <w:marTop w:val="0"/>
      <w:marBottom w:val="0"/>
      <w:divBdr>
        <w:top w:val="none" w:sz="0" w:space="0" w:color="auto"/>
        <w:left w:val="none" w:sz="0" w:space="0" w:color="auto"/>
        <w:bottom w:val="none" w:sz="0" w:space="0" w:color="auto"/>
        <w:right w:val="none" w:sz="0" w:space="0" w:color="auto"/>
      </w:divBdr>
      <w:divsChild>
        <w:div w:id="1992639789">
          <w:marLeft w:val="446"/>
          <w:marRight w:val="0"/>
          <w:marTop w:val="0"/>
          <w:marBottom w:val="0"/>
          <w:divBdr>
            <w:top w:val="none" w:sz="0" w:space="0" w:color="auto"/>
            <w:left w:val="none" w:sz="0" w:space="0" w:color="auto"/>
            <w:bottom w:val="none" w:sz="0" w:space="0" w:color="auto"/>
            <w:right w:val="none" w:sz="0" w:space="0" w:color="auto"/>
          </w:divBdr>
        </w:div>
      </w:divsChild>
    </w:div>
    <w:div w:id="1801651868">
      <w:bodyDiv w:val="1"/>
      <w:marLeft w:val="0"/>
      <w:marRight w:val="0"/>
      <w:marTop w:val="0"/>
      <w:marBottom w:val="0"/>
      <w:divBdr>
        <w:top w:val="none" w:sz="0" w:space="0" w:color="auto"/>
        <w:left w:val="none" w:sz="0" w:space="0" w:color="auto"/>
        <w:bottom w:val="none" w:sz="0" w:space="0" w:color="auto"/>
        <w:right w:val="none" w:sz="0" w:space="0" w:color="auto"/>
      </w:divBdr>
    </w:div>
    <w:div w:id="1867060137">
      <w:bodyDiv w:val="1"/>
      <w:marLeft w:val="0"/>
      <w:marRight w:val="0"/>
      <w:marTop w:val="0"/>
      <w:marBottom w:val="0"/>
      <w:divBdr>
        <w:top w:val="none" w:sz="0" w:space="0" w:color="auto"/>
        <w:left w:val="none" w:sz="0" w:space="0" w:color="auto"/>
        <w:bottom w:val="none" w:sz="0" w:space="0" w:color="auto"/>
        <w:right w:val="none" w:sz="0" w:space="0" w:color="auto"/>
      </w:divBdr>
    </w:div>
    <w:div w:id="1872499052">
      <w:bodyDiv w:val="1"/>
      <w:marLeft w:val="0"/>
      <w:marRight w:val="0"/>
      <w:marTop w:val="0"/>
      <w:marBottom w:val="0"/>
      <w:divBdr>
        <w:top w:val="none" w:sz="0" w:space="0" w:color="auto"/>
        <w:left w:val="none" w:sz="0" w:space="0" w:color="auto"/>
        <w:bottom w:val="none" w:sz="0" w:space="0" w:color="auto"/>
        <w:right w:val="none" w:sz="0" w:space="0" w:color="auto"/>
      </w:divBdr>
    </w:div>
    <w:div w:id="18788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ics.intranet.nigov.net/economy/articles/governance-and-accountability-notice-0420-reminder-duties-under-rural-needs-act-northern" TargetMode="External"/><Relationship Id="rId18" Type="http://schemas.openxmlformats.org/officeDocument/2006/relationships/hyperlink" Target="http://nics.intranet.nigov.net/economy/documents/dfe-equality-screening-guidance-section-75-northern-ireland-act-199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nics.intranet.nigov.net/economy/news/section-75-equality-screening-new-screening-template" TargetMode="External"/><Relationship Id="rId17" Type="http://schemas.openxmlformats.org/officeDocument/2006/relationships/hyperlink" Target="https://www.equalityni.org/ECNI/media/ECNI/Publications/Employers%20and%20Service%20Providers/Public%20Authorities/S75DataSignpostingGuid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url.uk.m.mimecastprotect.com/s/qtJiCpgXZCzk3NVtVSDTGVihB?domain=ulster.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8/08/relationships/commentsExtensible" Target="commentsExtensible.xm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economy-ni.gov.uk/news/northern-ireland-labour-force-survey-young-people-not-education-employment-or-training-neet-19" TargetMode="External"/><Relationship Id="rId3" Type="http://schemas.openxmlformats.org/officeDocument/2006/relationships/hyperlink" Target="https://www.equalityni.org/Footer-Links/News/Delivering-Equality/32nd-Fair-Employment-Monitoring-Report-published" TargetMode="External"/><Relationship Id="rId7" Type="http://schemas.openxmlformats.org/officeDocument/2006/relationships/hyperlink" Target="https://www.economy-ni.gov.uk/sites/default/files/publications/economy/older-people-inequalities-in-northern-ireland-skills-system.pdf" TargetMode="External"/><Relationship Id="rId2" Type="http://schemas.openxmlformats.org/officeDocument/2006/relationships/hyperlink" Target="https://www.nisra.gov.uk/sites/nisra.gov.uk/files/publications/NIMDM17-%20with%20ns.pdf" TargetMode="External"/><Relationship Id="rId1" Type="http://schemas.openxmlformats.org/officeDocument/2006/relationships/hyperlink" Target="https://www.equalityni.org/ECNI/media/ECNI/Publications/Delivering%20Equality/FETO%20Monitoring%20Reports/No32/MonReport32.pdf" TargetMode="External"/><Relationship Id="rId6" Type="http://schemas.openxmlformats.org/officeDocument/2006/relationships/hyperlink" Target="https://niopa.qub.ac.uk/bitstream/NIOPA/10567/1/Northern-Ireland-migration-labour-and-skills-Final.pdf" TargetMode="External"/><Relationship Id="rId5" Type="http://schemas.openxmlformats.org/officeDocument/2006/relationships/hyperlink" Target="https://www.esri.ie/system/files/publications/RS158_0.pdf" TargetMode="External"/><Relationship Id="rId4" Type="http://schemas.openxmlformats.org/officeDocument/2006/relationships/hyperlink" Target="https://www.equalityni.org/ECNI/media/ECNI/Publications/Delivering%20Equality/Employment-KeyInequalitiesStatement.pdf" TargetMode="External"/><Relationship Id="rId9" Type="http://schemas.openxmlformats.org/officeDocument/2006/relationships/hyperlink" Target="https://www.google.co.uk/url?sa=t&amp;rct=j&amp;q=&amp;esrc=s&amp;source=web&amp;cd=&amp;cad=rja&amp;uact=8&amp;ved=2ahUKEwic44Sk08yIAxU9bEEAHY_qHbYQFnoECAwQAQ&amp;url=https%3A%2F%2Fwww.familyandchildcaretrust.org%2Ffile%2F2970%2Fdownload%3Ftoken%3DhQGpaNlO&amp;usg=AOvVaw3wjujkd63cKyfGgZcMm5-D&amp;opi=89978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5B049DF8EE7489CD7BF60AFA46D86" ma:contentTypeVersion="16" ma:contentTypeDescription="Create a new document." ma:contentTypeScope="" ma:versionID="89b3378018b2520446680ce87d6fa467">
  <xsd:schema xmlns:xsd="http://www.w3.org/2001/XMLSchema" xmlns:xs="http://www.w3.org/2001/XMLSchema" xmlns:p="http://schemas.microsoft.com/office/2006/metadata/properties" xmlns:ns3="abee2cc8-b4da-4c9b-adda-2455e93d33ab" xmlns:ns4="24e74f8b-4ab7-46aa-b1cc-1eea4daf3d6f" targetNamespace="http://schemas.microsoft.com/office/2006/metadata/properties" ma:root="true" ma:fieldsID="93d7145f26f63cf3d13682514371b348" ns3:_="" ns4:_="">
    <xsd:import namespace="abee2cc8-b4da-4c9b-adda-2455e93d33ab"/>
    <xsd:import namespace="24e74f8b-4ab7-46aa-b1cc-1eea4daf3d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e2cc8-b4da-4c9b-adda-2455e93d3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74f8b-4ab7-46aa-b1cc-1eea4daf3d6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bee2cc8-b4da-4c9b-adda-2455e93d33ab" xsi:nil="true"/>
  </documentManagement>
</p:properties>
</file>

<file path=customXml/itemProps1.xml><?xml version="1.0" encoding="utf-8"?>
<ds:datastoreItem xmlns:ds="http://schemas.openxmlformats.org/officeDocument/2006/customXml" ds:itemID="{9C958652-4807-4F14-991E-DDC0507A2331}">
  <ds:schemaRefs>
    <ds:schemaRef ds:uri="http://schemas.openxmlformats.org/officeDocument/2006/bibliography"/>
  </ds:schemaRefs>
</ds:datastoreItem>
</file>

<file path=customXml/itemProps2.xml><?xml version="1.0" encoding="utf-8"?>
<ds:datastoreItem xmlns:ds="http://schemas.openxmlformats.org/officeDocument/2006/customXml" ds:itemID="{D28EC696-57B7-4DA4-8761-DA0EE3E5BC23}">
  <ds:schemaRefs>
    <ds:schemaRef ds:uri="http://schemas.microsoft.com/sharepoint/v3/contenttype/forms"/>
  </ds:schemaRefs>
</ds:datastoreItem>
</file>

<file path=customXml/itemProps3.xml><?xml version="1.0" encoding="utf-8"?>
<ds:datastoreItem xmlns:ds="http://schemas.openxmlformats.org/officeDocument/2006/customXml" ds:itemID="{A27DF966-D3C4-4B2E-92CF-488DBE33F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e2cc8-b4da-4c9b-adda-2455e93d33ab"/>
    <ds:schemaRef ds:uri="24e74f8b-4ab7-46aa-b1cc-1eea4daf3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26F8E-6A5D-44A5-A250-E65188CE9400}">
  <ds:schemaRefs>
    <ds:schemaRef ds:uri="http://schemas.microsoft.com/office/2006/metadata/properties"/>
    <ds:schemaRef ds:uri="http://schemas.microsoft.com/office/infopath/2007/PartnerControls"/>
    <ds:schemaRef ds:uri="abee2cc8-b4da-4c9b-adda-2455e93d33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10296</Words>
  <Characters>58690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Equality Commission for Northern Ireland</vt:lpstr>
    </vt:vector>
  </TitlesOfParts>
  <Company>N.I.C.S</Company>
  <LinksUpToDate>false</LinksUpToDate>
  <CharactersWithSpaces>68849</CharactersWithSpaces>
  <SharedDoc>false</SharedDoc>
  <HLinks>
    <vt:vector size="6" baseType="variant">
      <vt:variant>
        <vt:i4>8192101</vt:i4>
      </vt:variant>
      <vt:variant>
        <vt:i4>27</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Commission for Northern Ireland</dc:title>
  <dc:creator>0139843</dc:creator>
  <cp:lastModifiedBy>Tim Kelly</cp:lastModifiedBy>
  <cp:revision>3</cp:revision>
  <cp:lastPrinted>2011-10-25T15:02:00Z</cp:lastPrinted>
  <dcterms:created xsi:type="dcterms:W3CDTF">2025-02-24T09:22:00Z</dcterms:created>
  <dcterms:modified xsi:type="dcterms:W3CDTF">2025-02-24T09:24:00Z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0x010100AC45B049DF8EE7489CD7BF60AFA46D86</vt:lpwstr>
  </property>
</Properties>
</file>