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2A5" w14:textId="77777777" w:rsidR="00886640" w:rsidRDefault="0043023F">
      <w:r>
        <w:rPr>
          <w:noProof/>
          <w:lang w:eastAsia="en-GB"/>
        </w:rPr>
        <w:drawing>
          <wp:inline distT="0" distB="0" distL="0" distR="0" wp14:anchorId="6FB71A3C" wp14:editId="5E766D13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A4936" w14:textId="77777777" w:rsidR="00886640" w:rsidRDefault="00886640"/>
    <w:p w14:paraId="6F476B37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046DE424" w14:textId="77777777" w:rsidTr="0D03092F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21E90B94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5936E5DE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06D5F579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B55D47E" w14:textId="77777777" w:rsidTr="0D03092F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2A1D575B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D1281" w14:textId="11BAAB19" w:rsidR="00886640" w:rsidRDefault="0075753B">
            <w:pPr>
              <w:rPr>
                <w:color w:val="000000"/>
              </w:rPr>
            </w:pPr>
            <w:r>
              <w:rPr>
                <w:color w:val="000000"/>
              </w:rPr>
              <w:t>Regional Business Group</w:t>
            </w:r>
          </w:p>
        </w:tc>
        <w:tc>
          <w:tcPr>
            <w:tcW w:w="1271" w:type="dxa"/>
            <w:vAlign w:val="center"/>
            <w:hideMark/>
          </w:tcPr>
          <w:p w14:paraId="04ABAD8B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2D5655" w14:textId="4B3AE9B1" w:rsidR="00886640" w:rsidRDefault="0075753B">
            <w:pPr>
              <w:rPr>
                <w:color w:val="000000"/>
              </w:rPr>
            </w:pPr>
            <w:r>
              <w:rPr>
                <w:color w:val="000000"/>
              </w:rPr>
              <w:t>Regional Competitions</w:t>
            </w:r>
          </w:p>
        </w:tc>
      </w:tr>
      <w:tr w:rsidR="00886640" w14:paraId="7CB92BBE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56C5C8E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760E4D9" w14:textId="77777777" w:rsidTr="0D03092F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66D01274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14:paraId="7991B8E6" w14:textId="77777777" w:rsidTr="0D03092F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384A93" w14:textId="11F92BCE" w:rsidR="00886640" w:rsidRDefault="0075753B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>Ambition to</w:t>
            </w:r>
            <w:r w:rsidR="00FC3D5C" w:rsidRPr="42D0BBD2">
              <w:rPr>
                <w:color w:val="000000" w:themeColor="text1"/>
              </w:rPr>
              <w:t xml:space="preserve"> Grow Programme 202</w:t>
            </w:r>
            <w:r w:rsidR="107D4DC1" w:rsidRPr="42D0BBD2">
              <w:rPr>
                <w:color w:val="000000" w:themeColor="text1"/>
              </w:rPr>
              <w:t>6</w:t>
            </w:r>
            <w:r w:rsidR="00FC3D5C" w:rsidRPr="42D0BBD2">
              <w:rPr>
                <w:color w:val="000000" w:themeColor="text1"/>
              </w:rPr>
              <w:t>-202</w:t>
            </w:r>
            <w:r w:rsidR="031CC9D6" w:rsidRPr="42D0BBD2">
              <w:rPr>
                <w:color w:val="000000" w:themeColor="text1"/>
              </w:rPr>
              <w:t>9</w:t>
            </w:r>
          </w:p>
        </w:tc>
      </w:tr>
      <w:tr w:rsidR="00886640" w14:paraId="55B889A4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666F4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FB32C50" w14:textId="77777777" w:rsidTr="0D03092F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23853FD5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E8D65" w14:textId="583E3576" w:rsidR="00886640" w:rsidRDefault="00FC3D5C">
            <w:pPr>
              <w:rPr>
                <w:color w:val="000000"/>
              </w:rPr>
            </w:pPr>
            <w:r>
              <w:rPr>
                <w:color w:val="000000"/>
              </w:rPr>
              <w:t>New</w:t>
            </w:r>
          </w:p>
        </w:tc>
      </w:tr>
      <w:tr w:rsidR="00886640" w14:paraId="64B21C1A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77B7E3FB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F6F1234" w14:textId="77777777" w:rsidTr="0D03092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1FECFE78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B0015" w14:textId="308A652B" w:rsidR="00886640" w:rsidRDefault="0075753B">
            <w:pPr>
              <w:rPr>
                <w:color w:val="000000"/>
              </w:rPr>
            </w:pPr>
            <w:r>
              <w:rPr>
                <w:color w:val="000000"/>
              </w:rPr>
              <w:t>Service Users</w:t>
            </w:r>
          </w:p>
        </w:tc>
      </w:tr>
      <w:tr w:rsidR="00886640" w14:paraId="09E222C3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331A0FEF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6CE79EA" w14:textId="77777777" w:rsidTr="0D03092F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435C4BA3" w14:textId="6C9D2CCF" w:rsidR="00886640" w:rsidRDefault="00886640" w:rsidP="0043023F">
            <w:pPr>
              <w:rPr>
                <w:color w:val="000000"/>
              </w:rPr>
            </w:pPr>
            <w:r w:rsidRPr="637078E6">
              <w:rPr>
                <w:b/>
                <w:bCs/>
                <w:color w:val="000000"/>
              </w:rPr>
              <w:t xml:space="preserve">Question 1 </w:t>
            </w:r>
            <w:bookmarkStart w:id="0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>Programme</w:t>
            </w:r>
            <w:bookmarkEnd w:id="0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68D72194" w14:textId="77777777" w:rsidTr="0D03092F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7EDB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DD9F838" w14:textId="77777777" w:rsidTr="0D03092F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265" w14:textId="42AF02D3" w:rsidR="0097185B" w:rsidRDefault="0097185B">
            <w:pPr>
              <w:rPr>
                <w:b/>
                <w:bCs/>
                <w:color w:val="000000"/>
              </w:rPr>
            </w:pPr>
            <w:r w:rsidRPr="0097185B">
              <w:rPr>
                <w:b/>
                <w:bCs/>
                <w:color w:val="000000"/>
              </w:rPr>
              <w:t>Background:</w:t>
            </w:r>
          </w:p>
          <w:p w14:paraId="31680BC8" w14:textId="77777777" w:rsidR="00101EC4" w:rsidRDefault="00101EC4">
            <w:pPr>
              <w:rPr>
                <w:b/>
                <w:bCs/>
                <w:color w:val="000000"/>
              </w:rPr>
            </w:pPr>
          </w:p>
          <w:p w14:paraId="239B92F8" w14:textId="0651AC14" w:rsidR="00101EC4" w:rsidRPr="006E2BA2" w:rsidRDefault="006E2BA2">
            <w:pPr>
              <w:rPr>
                <w:color w:val="000000"/>
              </w:rPr>
            </w:pPr>
            <w:r w:rsidRPr="0D03092F">
              <w:rPr>
                <w:color w:val="000000" w:themeColor="text1"/>
              </w:rPr>
              <w:t xml:space="preserve">Ambition to Grow </w:t>
            </w:r>
            <w:r w:rsidR="0021421F" w:rsidRPr="0D03092F">
              <w:rPr>
                <w:color w:val="000000" w:themeColor="text1"/>
              </w:rPr>
              <w:t xml:space="preserve">(ATG) </w:t>
            </w:r>
            <w:r w:rsidR="008E796E" w:rsidRPr="0D03092F">
              <w:rPr>
                <w:color w:val="000000" w:themeColor="text1"/>
              </w:rPr>
              <w:t>is a programme designed to increase the number of business</w:t>
            </w:r>
            <w:r w:rsidR="0021421F" w:rsidRPr="0D03092F">
              <w:rPr>
                <w:color w:val="000000" w:themeColor="text1"/>
              </w:rPr>
              <w:t xml:space="preserve">es </w:t>
            </w:r>
            <w:r w:rsidR="00EE7511" w:rsidRPr="0D03092F">
              <w:rPr>
                <w:color w:val="000000" w:themeColor="text1"/>
              </w:rPr>
              <w:t xml:space="preserve">Invest NI onboards as new clients and issues with an offer of grant assistance.  An Outline Business Case with total value of £10.1m has been approved to enable delivery of the programme over </w:t>
            </w:r>
            <w:r w:rsidR="00C700BF" w:rsidRPr="0D03092F">
              <w:rPr>
                <w:color w:val="000000" w:themeColor="text1"/>
              </w:rPr>
              <w:t xml:space="preserve">a </w:t>
            </w:r>
            <w:r w:rsidR="221A5D6C" w:rsidRPr="0D03092F">
              <w:rPr>
                <w:color w:val="000000" w:themeColor="text1"/>
              </w:rPr>
              <w:t>3-year</w:t>
            </w:r>
            <w:r w:rsidR="00C700BF" w:rsidRPr="0D03092F">
              <w:rPr>
                <w:color w:val="000000" w:themeColor="text1"/>
              </w:rPr>
              <w:t xml:space="preserve"> period commencing January 2026. </w:t>
            </w:r>
          </w:p>
          <w:p w14:paraId="07DBF1E5" w14:textId="77777777" w:rsidR="0097185B" w:rsidRDefault="0097185B">
            <w:pPr>
              <w:rPr>
                <w:color w:val="000000"/>
              </w:rPr>
            </w:pPr>
          </w:p>
          <w:p w14:paraId="49DB73AE" w14:textId="6C2AC5C5" w:rsidR="007D11F8" w:rsidRDefault="00C700BF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 xml:space="preserve">The programme approval </w:t>
            </w:r>
            <w:r w:rsidR="00AE7CFA" w:rsidRPr="42D0BBD2">
              <w:rPr>
                <w:color w:val="000000" w:themeColor="text1"/>
              </w:rPr>
              <w:t xml:space="preserve">follows on from </w:t>
            </w:r>
            <w:r w:rsidR="000F1045" w:rsidRPr="42D0BBD2">
              <w:rPr>
                <w:color w:val="000000" w:themeColor="text1"/>
              </w:rPr>
              <w:t>a pilot initiative whereby ATG application calls took place under approval from Invest NI E</w:t>
            </w:r>
            <w:r w:rsidR="00B60D8B" w:rsidRPr="42D0BBD2">
              <w:rPr>
                <w:color w:val="000000" w:themeColor="text1"/>
              </w:rPr>
              <w:t xml:space="preserve">xecutive Leadership Team.  The final call under the pilot, the ninth call in total, took place in January 2025.  </w:t>
            </w:r>
            <w:r w:rsidR="00A8191D" w:rsidRPr="42D0BBD2">
              <w:rPr>
                <w:color w:val="000000" w:themeColor="text1"/>
              </w:rPr>
              <w:t xml:space="preserve">Over the course of the pilot, a total of 250 businesses </w:t>
            </w:r>
            <w:bookmarkStart w:id="1" w:name="_Int_2088rcsL"/>
            <w:proofErr w:type="gramStart"/>
            <w:r w:rsidR="00A8191D" w:rsidRPr="42D0BBD2">
              <w:rPr>
                <w:color w:val="000000" w:themeColor="text1"/>
              </w:rPr>
              <w:t>have</w:t>
            </w:r>
            <w:bookmarkEnd w:id="1"/>
            <w:proofErr w:type="gramEnd"/>
            <w:r w:rsidR="00A8191D" w:rsidRPr="42D0BBD2">
              <w:rPr>
                <w:color w:val="000000" w:themeColor="text1"/>
              </w:rPr>
              <w:t xml:space="preserve"> been supported, with 93% of these being new to Invest NI.  </w:t>
            </w:r>
          </w:p>
          <w:p w14:paraId="43D0C737" w14:textId="77777777" w:rsidR="00FE3647" w:rsidRDefault="00FE3647">
            <w:pPr>
              <w:rPr>
                <w:color w:val="000000"/>
              </w:rPr>
            </w:pPr>
          </w:p>
          <w:p w14:paraId="6795E3A3" w14:textId="7F0FC6A0" w:rsidR="00C700BF" w:rsidRDefault="00FE3647">
            <w:pPr>
              <w:rPr>
                <w:color w:val="000000"/>
              </w:rPr>
            </w:pPr>
            <w:r w:rsidRPr="0D03092F">
              <w:rPr>
                <w:color w:val="000000" w:themeColor="text1"/>
              </w:rPr>
              <w:t>Within the pilot, two calls targeting women led businesses were delivered</w:t>
            </w:r>
            <w:r w:rsidR="00510899" w:rsidRPr="0D03092F">
              <w:rPr>
                <w:color w:val="000000" w:themeColor="text1"/>
              </w:rPr>
              <w:t>, in October 2023 and October 2024</w:t>
            </w:r>
            <w:r w:rsidRPr="0D03092F">
              <w:rPr>
                <w:color w:val="000000" w:themeColor="text1"/>
              </w:rPr>
              <w:t>.  Under the banner of Ambition to Grow Supporting Women</w:t>
            </w:r>
            <w:r w:rsidR="00510899" w:rsidRPr="0D03092F">
              <w:rPr>
                <w:color w:val="000000" w:themeColor="text1"/>
              </w:rPr>
              <w:t xml:space="preserve"> (ATGSW)</w:t>
            </w:r>
            <w:r w:rsidRPr="0D03092F">
              <w:rPr>
                <w:color w:val="000000" w:themeColor="text1"/>
              </w:rPr>
              <w:t xml:space="preserve">, and </w:t>
            </w:r>
            <w:r w:rsidR="003D5032" w:rsidRPr="0D03092F">
              <w:rPr>
                <w:color w:val="000000" w:themeColor="text1"/>
              </w:rPr>
              <w:t xml:space="preserve">developed in partnership with Women in Business NI, these calls had their own equality </w:t>
            </w:r>
            <w:r w:rsidR="00510899" w:rsidRPr="0D03092F">
              <w:rPr>
                <w:color w:val="000000" w:themeColor="text1"/>
              </w:rPr>
              <w:t xml:space="preserve">screening carried out.  A third ATGSW call, delivered in October 2025, </w:t>
            </w:r>
            <w:r w:rsidR="000A5B0A" w:rsidRPr="0D03092F">
              <w:rPr>
                <w:color w:val="000000" w:themeColor="text1"/>
              </w:rPr>
              <w:t xml:space="preserve">had its own business case approved and is being treated as a </w:t>
            </w:r>
            <w:proofErr w:type="gramStart"/>
            <w:r w:rsidR="000A5B0A" w:rsidRPr="0D03092F">
              <w:rPr>
                <w:color w:val="000000" w:themeColor="text1"/>
              </w:rPr>
              <w:t>programme in its own right</w:t>
            </w:r>
            <w:proofErr w:type="gramEnd"/>
            <w:r w:rsidR="000A5B0A" w:rsidRPr="0D03092F">
              <w:rPr>
                <w:color w:val="000000" w:themeColor="text1"/>
              </w:rPr>
              <w:t xml:space="preserve">.  Again, this standalone ATGSW programme has had its own equality screening carried out.  </w:t>
            </w:r>
          </w:p>
          <w:p w14:paraId="74FFB981" w14:textId="12578380" w:rsidR="0D03092F" w:rsidRDefault="0D03092F" w:rsidP="0D03092F">
            <w:pPr>
              <w:rPr>
                <w:color w:val="000000" w:themeColor="text1"/>
              </w:rPr>
            </w:pPr>
          </w:p>
          <w:p w14:paraId="5ADCAC09" w14:textId="29B8EE83" w:rsidR="798BEA02" w:rsidRDefault="798BEA02" w:rsidP="0D03092F">
            <w:pPr>
              <w:rPr>
                <w:color w:val="000000" w:themeColor="text1"/>
              </w:rPr>
            </w:pPr>
            <w:r w:rsidRPr="0D03092F">
              <w:rPr>
                <w:color w:val="000000" w:themeColor="text1"/>
              </w:rPr>
              <w:t xml:space="preserve">It should be noted that the ATG business case includes an allowance for a degree of flexibility, should targeted calls be introduced.  </w:t>
            </w:r>
            <w:r w:rsidRPr="0D03092F">
              <w:rPr>
                <w:color w:val="000000" w:themeColor="text1"/>
                <w:u w:val="single"/>
              </w:rPr>
              <w:t>The OBC does not include a targeted ATGSW call,</w:t>
            </w:r>
            <w:r w:rsidRPr="0D03092F">
              <w:rPr>
                <w:color w:val="000000" w:themeColor="text1"/>
              </w:rPr>
              <w:t xml:space="preserve"> and if such a call was to be delivered, approval from Invest NI Chief Development Office (CDO) would be required.  A targeted call such as ATGSW will require an updated Equality Screening to be completed.</w:t>
            </w:r>
          </w:p>
          <w:p w14:paraId="32F3991F" w14:textId="19A7648A" w:rsidR="0D03092F" w:rsidRDefault="0D03092F" w:rsidP="0D03092F">
            <w:pPr>
              <w:rPr>
                <w:color w:val="000000" w:themeColor="text1"/>
              </w:rPr>
            </w:pPr>
          </w:p>
          <w:p w14:paraId="320CE3C3" w14:textId="77777777" w:rsidR="0097185B" w:rsidRDefault="0097185B">
            <w:pPr>
              <w:rPr>
                <w:color w:val="000000"/>
              </w:rPr>
            </w:pPr>
          </w:p>
          <w:p w14:paraId="60E57704" w14:textId="12FD4869" w:rsidR="0097185B" w:rsidRDefault="0097185B">
            <w:pPr>
              <w:rPr>
                <w:b/>
                <w:bCs/>
                <w:color w:val="000000"/>
              </w:rPr>
            </w:pPr>
            <w:r w:rsidRPr="0097185B">
              <w:rPr>
                <w:b/>
                <w:bCs/>
                <w:color w:val="000000"/>
              </w:rPr>
              <w:t>Programme Overview:</w:t>
            </w:r>
          </w:p>
          <w:p w14:paraId="5417A2E8" w14:textId="77777777" w:rsidR="00F92F9A" w:rsidRDefault="00F92F9A">
            <w:pPr>
              <w:rPr>
                <w:b/>
                <w:bCs/>
                <w:color w:val="000000"/>
              </w:rPr>
            </w:pPr>
          </w:p>
          <w:p w14:paraId="1A0CCC08" w14:textId="4B94EC1F" w:rsidR="00F161D4" w:rsidRDefault="00F161D4">
            <w:pPr>
              <w:rPr>
                <w:color w:val="000000"/>
              </w:rPr>
            </w:pPr>
            <w:r>
              <w:rPr>
                <w:color w:val="000000"/>
              </w:rPr>
              <w:t>ATG operates on an application call basis with the OBC detailing 5 calls per year</w:t>
            </w:r>
            <w:r w:rsidR="0011093D">
              <w:rPr>
                <w:color w:val="000000"/>
              </w:rPr>
              <w:t xml:space="preserve"> across 2 types of calls:</w:t>
            </w:r>
          </w:p>
          <w:p w14:paraId="65C2D962" w14:textId="77777777" w:rsidR="0011093D" w:rsidRDefault="0011093D">
            <w:pPr>
              <w:rPr>
                <w:color w:val="000000"/>
              </w:rPr>
            </w:pPr>
          </w:p>
          <w:p w14:paraId="11E1A70D" w14:textId="3C671C43" w:rsidR="00165FF2" w:rsidRDefault="00165FF2" w:rsidP="42D0BBD2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42D0BBD2">
              <w:rPr>
                <w:color w:val="000000" w:themeColor="text1"/>
              </w:rPr>
              <w:t xml:space="preserve">A development grant offering to assist businesses in gaining initial external market traction.  Assistance of up to £15,000 at a support rate of 50%. </w:t>
            </w:r>
            <w:r w:rsidR="00BE11C9" w:rsidRPr="42D0BBD2">
              <w:rPr>
                <w:color w:val="000000" w:themeColor="text1"/>
              </w:rPr>
              <w:t>An optional workshop focussed on exporting will be included within the support offering.</w:t>
            </w:r>
            <w:r w:rsidR="00FB6825" w:rsidRPr="42D0BBD2">
              <w:rPr>
                <w:color w:val="000000" w:themeColor="text1"/>
              </w:rPr>
              <w:t xml:space="preserve">  </w:t>
            </w:r>
          </w:p>
          <w:p w14:paraId="3008B487" w14:textId="6FE646A2" w:rsidR="42D0BBD2" w:rsidRDefault="42D0BBD2" w:rsidP="42D0BBD2">
            <w:pPr>
              <w:rPr>
                <w:color w:val="000000" w:themeColor="text1"/>
              </w:rPr>
            </w:pPr>
          </w:p>
          <w:p w14:paraId="5E70396D" w14:textId="1572114C" w:rsidR="00AE717A" w:rsidRDefault="00AE717A" w:rsidP="0011093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FF0C54">
              <w:rPr>
                <w:color w:val="000000"/>
              </w:rPr>
              <w:t>n</w:t>
            </w:r>
            <w:r>
              <w:rPr>
                <w:color w:val="000000"/>
              </w:rPr>
              <w:t xml:space="preserve"> offering </w:t>
            </w:r>
            <w:proofErr w:type="gramStart"/>
            <w:r>
              <w:rPr>
                <w:color w:val="000000"/>
              </w:rPr>
              <w:t>similar to</w:t>
            </w:r>
            <w:proofErr w:type="gramEnd"/>
            <w:r>
              <w:rPr>
                <w:color w:val="000000"/>
              </w:rPr>
              <w:t xml:space="preserve"> that available under the current ATG offer:</w:t>
            </w:r>
          </w:p>
          <w:p w14:paraId="2C8848B1" w14:textId="77777777" w:rsidR="00AE717A" w:rsidRPr="00AE717A" w:rsidRDefault="00AE717A" w:rsidP="00AE717A">
            <w:pPr>
              <w:pStyle w:val="ListParagraph"/>
              <w:rPr>
                <w:color w:val="000000"/>
              </w:rPr>
            </w:pPr>
          </w:p>
          <w:p w14:paraId="3D1B0623" w14:textId="3B7FFE5A" w:rsidR="00AE717A" w:rsidRDefault="00AE717A" w:rsidP="00AE71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Up to £30,000 as employment, management salary or capital grant. </w:t>
            </w:r>
          </w:p>
          <w:p w14:paraId="50C75218" w14:textId="070B4D2E" w:rsidR="00AE717A" w:rsidRDefault="00AE717A" w:rsidP="00AE71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Up to £10,000 as development grant, payable at a rate of 50% of eligible costs relating to market/product/skills development. </w:t>
            </w:r>
          </w:p>
          <w:p w14:paraId="09A53358" w14:textId="307C3108" w:rsidR="00AE717A" w:rsidRDefault="00AE717A" w:rsidP="00AE71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£5,000 as revenue grant, payable on completion of Innovate NI self-assessment, Invest NI Go Further Grow Stronger Export Health Checker and attendance at 2 workshops focussing on Sales &amp; Marketing and Implementing an Export Led Growth Plan. </w:t>
            </w:r>
          </w:p>
          <w:p w14:paraId="0FE7B96B" w14:textId="203A87F7" w:rsidR="008D0EFA" w:rsidRDefault="008D0EFA" w:rsidP="008D0EFA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 xml:space="preserve">    </w:t>
            </w:r>
          </w:p>
          <w:p w14:paraId="43370794" w14:textId="77777777" w:rsidR="00FF0C54" w:rsidRDefault="00FF0C54" w:rsidP="008D0EFA">
            <w:pPr>
              <w:rPr>
                <w:color w:val="000000"/>
              </w:rPr>
            </w:pPr>
          </w:p>
          <w:p w14:paraId="47082FD8" w14:textId="06F1EDD6" w:rsidR="00FF0C54" w:rsidRDefault="00FF0C54" w:rsidP="008D0E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The business case allows for support of up to £60,000 to be offered </w:t>
            </w:r>
            <w:r w:rsidR="00F4336E">
              <w:rPr>
                <w:color w:val="000000"/>
              </w:rPr>
              <w:t xml:space="preserve">under ATG element 2, although initial calls will continue to offer up to £45,000 </w:t>
            </w:r>
            <w:r w:rsidR="00DC25E1">
              <w:rPr>
                <w:color w:val="000000"/>
              </w:rPr>
              <w:t xml:space="preserve">until an appropriate appraisal methodology is developed.  Currently, offers over £50,000 require an Economic Efficiency Test (EET) which is at odds with the intended streamlined approach of ATG. </w:t>
            </w:r>
          </w:p>
          <w:p w14:paraId="71CF7238" w14:textId="77777777" w:rsidR="00C00C7F" w:rsidRDefault="00C00C7F" w:rsidP="008D0EFA">
            <w:pPr>
              <w:rPr>
                <w:color w:val="000000"/>
              </w:rPr>
            </w:pPr>
          </w:p>
          <w:p w14:paraId="7F833177" w14:textId="77777777" w:rsidR="00531331" w:rsidRDefault="00531331" w:rsidP="008D0EFA">
            <w:pPr>
              <w:rPr>
                <w:color w:val="000000"/>
              </w:rPr>
            </w:pPr>
          </w:p>
          <w:p w14:paraId="12597FD9" w14:textId="71D5AAC9" w:rsidR="00531331" w:rsidRDefault="00531331" w:rsidP="008D0E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Process</w:t>
            </w:r>
          </w:p>
          <w:p w14:paraId="52202199" w14:textId="77777777" w:rsidR="00531331" w:rsidRDefault="00531331" w:rsidP="008D0EFA">
            <w:pPr>
              <w:rPr>
                <w:b/>
                <w:bCs/>
                <w:color w:val="000000"/>
              </w:rPr>
            </w:pPr>
          </w:p>
          <w:p w14:paraId="1B84BAA8" w14:textId="3F614CC8" w:rsidR="00531331" w:rsidRPr="00531331" w:rsidRDefault="00531331" w:rsidP="008D0EFA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>Application calls will each be open for approximately 3 weeks during which time applications can be submitted via the MYINI online portal.  Businesses begin by completing a short eligibility checker on the Invest NI website</w:t>
            </w:r>
            <w:r w:rsidR="00AE14C4" w:rsidRPr="42D0BBD2">
              <w:rPr>
                <w:color w:val="000000" w:themeColor="text1"/>
              </w:rPr>
              <w:t xml:space="preserve"> which will be </w:t>
            </w:r>
            <w:proofErr w:type="gramStart"/>
            <w:r w:rsidR="00AE14C4" w:rsidRPr="42D0BBD2">
              <w:rPr>
                <w:color w:val="000000" w:themeColor="text1"/>
              </w:rPr>
              <w:t>similar to</w:t>
            </w:r>
            <w:proofErr w:type="gramEnd"/>
            <w:r w:rsidR="00AE14C4" w:rsidRPr="42D0BBD2">
              <w:rPr>
                <w:color w:val="000000" w:themeColor="text1"/>
              </w:rPr>
              <w:t xml:space="preserve"> that outlined below:  </w:t>
            </w:r>
          </w:p>
          <w:p w14:paraId="14B2B28F" w14:textId="2271F626" w:rsidR="009C33E8" w:rsidRDefault="009C33E8" w:rsidP="637078E6">
            <w:pPr>
              <w:rPr>
                <w:color w:val="000000" w:themeColor="text1"/>
              </w:rPr>
            </w:pPr>
          </w:p>
          <w:p w14:paraId="0324B60D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Q1 – Is your business currently based in Northern Ireland with at least one director/proprietor/partner residing here, and have less than 250 full-time equivalent staff? </w:t>
            </w:r>
            <w:r w:rsidRPr="009B2240">
              <w:rPr>
                <w:b/>
                <w:bCs/>
                <w:color w:val="000000"/>
              </w:rPr>
              <w:t>Yes</w:t>
            </w:r>
            <w:r w:rsidRPr="009B2240">
              <w:rPr>
                <w:color w:val="000000"/>
              </w:rPr>
              <w:t> </w:t>
            </w:r>
          </w:p>
          <w:p w14:paraId="3268C6BF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789D65CD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Q2 – Is your business currently generating sales? </w:t>
            </w:r>
            <w:r w:rsidRPr="009B2240">
              <w:rPr>
                <w:b/>
                <w:bCs/>
                <w:color w:val="000000"/>
              </w:rPr>
              <w:t>Yes</w:t>
            </w:r>
            <w:r w:rsidRPr="009B2240">
              <w:rPr>
                <w:color w:val="000000"/>
              </w:rPr>
              <w:t> </w:t>
            </w:r>
          </w:p>
          <w:p w14:paraId="49576734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391F07F0" w14:textId="2EF42ED6" w:rsidR="009B2240" w:rsidRPr="009B2240" w:rsidRDefault="009B2240" w:rsidP="009B2240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>Q3 – Does your business have either annual turnover under £</w:t>
            </w:r>
            <w:r w:rsidR="35D17A5F" w:rsidRPr="42D0BBD2">
              <w:rPr>
                <w:color w:val="000000" w:themeColor="text1"/>
              </w:rPr>
              <w:t>2</w:t>
            </w:r>
            <w:r w:rsidRPr="42D0BBD2">
              <w:rPr>
                <w:color w:val="000000" w:themeColor="text1"/>
              </w:rPr>
              <w:t>m or annual sales to customers outside Northern Ireland of less than £</w:t>
            </w:r>
            <w:r w:rsidR="746DCE3C" w:rsidRPr="42D0BBD2">
              <w:rPr>
                <w:color w:val="000000" w:themeColor="text1"/>
              </w:rPr>
              <w:t>25</w:t>
            </w:r>
            <w:r w:rsidRPr="42D0BBD2">
              <w:rPr>
                <w:color w:val="000000" w:themeColor="text1"/>
              </w:rPr>
              <w:t xml:space="preserve">0,000? </w:t>
            </w:r>
            <w:r w:rsidRPr="42D0BBD2">
              <w:rPr>
                <w:b/>
                <w:bCs/>
                <w:color w:val="000000" w:themeColor="text1"/>
              </w:rPr>
              <w:t>Yes</w:t>
            </w:r>
            <w:r w:rsidRPr="42D0BBD2">
              <w:rPr>
                <w:color w:val="000000" w:themeColor="text1"/>
              </w:rPr>
              <w:t> </w:t>
            </w:r>
          </w:p>
          <w:p w14:paraId="7680580D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34BEF112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Q4 – Does your business manufacture a product or provide a tradeable service? </w:t>
            </w:r>
            <w:r w:rsidRPr="009B2240">
              <w:rPr>
                <w:b/>
                <w:bCs/>
                <w:color w:val="000000"/>
              </w:rPr>
              <w:t>Yes</w:t>
            </w:r>
            <w:r w:rsidRPr="009B2240">
              <w:rPr>
                <w:color w:val="000000"/>
              </w:rPr>
              <w:t> </w:t>
            </w:r>
          </w:p>
          <w:p w14:paraId="1C330D3E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6D8FC4DC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Q5 – Are any of the following the main activity of your business? </w:t>
            </w:r>
          </w:p>
          <w:p w14:paraId="3F8014BF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(If you select “Yes” to any of these, your business may be ineligible) </w:t>
            </w:r>
            <w:r w:rsidRPr="009B2240">
              <w:rPr>
                <w:b/>
                <w:bCs/>
                <w:color w:val="000000"/>
              </w:rPr>
              <w:t>No</w:t>
            </w:r>
            <w:r w:rsidRPr="009B2240">
              <w:rPr>
                <w:color w:val="000000"/>
              </w:rPr>
              <w:t> </w:t>
            </w:r>
          </w:p>
          <w:p w14:paraId="2FA8C1B9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781CA3FB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Activities include: </w:t>
            </w:r>
          </w:p>
          <w:p w14:paraId="7DCBC2D9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Agricultural Production </w:t>
            </w:r>
          </w:p>
          <w:p w14:paraId="0CFF09FA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Fisheries &amp; Aquaculture Sectors (Production and Processing) </w:t>
            </w:r>
          </w:p>
          <w:p w14:paraId="2F2E7B23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Steel </w:t>
            </w:r>
          </w:p>
          <w:p w14:paraId="2536B3DA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Coal </w:t>
            </w:r>
          </w:p>
          <w:p w14:paraId="3E9E6645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Shipbuilding </w:t>
            </w:r>
          </w:p>
          <w:p w14:paraId="5DC6481F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Synthetic fibres </w:t>
            </w:r>
          </w:p>
          <w:p w14:paraId="1AC9AC0C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Transport and its infrastructure </w:t>
            </w:r>
          </w:p>
          <w:p w14:paraId="45DA1995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Energy generation, distribution &amp; its infrastructure </w:t>
            </w:r>
          </w:p>
          <w:p w14:paraId="5B143F12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Infrastructure </w:t>
            </w:r>
          </w:p>
          <w:p w14:paraId="32C47C7E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Tourism accommodation </w:t>
            </w:r>
          </w:p>
          <w:p w14:paraId="36E8B747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Visitor attractions </w:t>
            </w:r>
          </w:p>
          <w:p w14:paraId="18CBFFE7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Healthcare services (in-person) </w:t>
            </w:r>
          </w:p>
          <w:p w14:paraId="652503FA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Wholesale </w:t>
            </w:r>
          </w:p>
          <w:p w14:paraId="58167D76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Retail (including online) </w:t>
            </w:r>
          </w:p>
          <w:p w14:paraId="71D80A6E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o</w:t>
            </w:r>
            <w:r w:rsidRPr="009B2240">
              <w:rPr>
                <w:color w:val="000000"/>
              </w:rPr>
              <w:tab/>
              <w:t>Distribution </w:t>
            </w:r>
          </w:p>
          <w:p w14:paraId="081513C0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2BA374E8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Q6 – Has your business received an offer or payment of grant support from Invest NI within the last five years? </w:t>
            </w:r>
            <w:r w:rsidRPr="009B2240">
              <w:rPr>
                <w:b/>
                <w:bCs/>
                <w:color w:val="000000"/>
              </w:rPr>
              <w:t>No</w:t>
            </w:r>
            <w:r w:rsidRPr="009B2240">
              <w:rPr>
                <w:color w:val="000000"/>
              </w:rPr>
              <w:t> </w:t>
            </w:r>
          </w:p>
          <w:p w14:paraId="38C8BF0D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0856163D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(Excludes Covid-19 Emergency Funds, Innovation Vouchers, Economic Recovery Innovation Grant, Access to Finance funding or completed Business Innovation Grant projects)     </w:t>
            </w:r>
          </w:p>
          <w:p w14:paraId="699FE4B2" w14:textId="77777777" w:rsidR="009B2240" w:rsidRP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> </w:t>
            </w:r>
          </w:p>
          <w:p w14:paraId="361565E5" w14:textId="77777777" w:rsidR="009B2240" w:rsidRDefault="009B2240" w:rsidP="009B2240">
            <w:pPr>
              <w:rPr>
                <w:color w:val="000000"/>
              </w:rPr>
            </w:pPr>
            <w:r w:rsidRPr="009B2240">
              <w:rPr>
                <w:color w:val="000000"/>
              </w:rPr>
              <w:t xml:space="preserve">Q7 – Can your business commit to creating two new full-time equivalent employment positions and generating new sales directly to customers outside Northern Ireland over the next two years? </w:t>
            </w:r>
            <w:r w:rsidRPr="009B2240">
              <w:rPr>
                <w:b/>
                <w:bCs/>
                <w:color w:val="000000"/>
              </w:rPr>
              <w:t>Yes</w:t>
            </w:r>
            <w:r w:rsidRPr="009B2240">
              <w:rPr>
                <w:color w:val="000000"/>
              </w:rPr>
              <w:t> </w:t>
            </w:r>
          </w:p>
          <w:p w14:paraId="6D34121B" w14:textId="77777777" w:rsidR="00D72067" w:rsidRDefault="00D72067" w:rsidP="009B2240">
            <w:pPr>
              <w:rPr>
                <w:color w:val="000000"/>
              </w:rPr>
            </w:pPr>
          </w:p>
          <w:p w14:paraId="107E58F4" w14:textId="37203332" w:rsidR="00D72067" w:rsidRDefault="00D72067" w:rsidP="009B22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Aims/Objectives</w:t>
            </w:r>
          </w:p>
          <w:p w14:paraId="11505C76" w14:textId="77777777" w:rsidR="00D72067" w:rsidRDefault="00D72067" w:rsidP="009B2240">
            <w:pPr>
              <w:rPr>
                <w:b/>
                <w:bCs/>
                <w:color w:val="000000"/>
              </w:rPr>
            </w:pPr>
          </w:p>
          <w:p w14:paraId="7AE54343" w14:textId="14966E39" w:rsidR="0097185B" w:rsidRDefault="317BCB79" w:rsidP="42D0BBD2">
            <w:pPr>
              <w:rPr>
                <w:color w:val="000000" w:themeColor="text1"/>
              </w:rPr>
            </w:pPr>
            <w:r w:rsidRPr="42D0BBD2">
              <w:rPr>
                <w:color w:val="000000" w:themeColor="text1"/>
              </w:rPr>
              <w:t xml:space="preserve">The aim is to run 2 application calls per year for support type 1, supporting 40 businesses per call, 80 per year and 240 in total. </w:t>
            </w:r>
          </w:p>
          <w:p w14:paraId="51CCFA1F" w14:textId="3660926A" w:rsidR="0097185B" w:rsidRDefault="0097185B" w:rsidP="42D0BBD2">
            <w:pPr>
              <w:rPr>
                <w:color w:val="000000" w:themeColor="text1"/>
              </w:rPr>
            </w:pPr>
          </w:p>
          <w:p w14:paraId="21FD27A2" w14:textId="00C64903" w:rsidR="0097185B" w:rsidRDefault="317BCB79" w:rsidP="42D0BBD2">
            <w:pPr>
              <w:rPr>
                <w:color w:val="000000" w:themeColor="text1"/>
              </w:rPr>
            </w:pPr>
            <w:r w:rsidRPr="42D0BBD2">
              <w:rPr>
                <w:color w:val="000000" w:themeColor="text1"/>
              </w:rPr>
              <w:t>The aim is to run 3 application calls per year for support type 2, supporting 40 businesses per call, 120 per year, and 360 in total.</w:t>
            </w:r>
          </w:p>
          <w:p w14:paraId="0E8BF378" w14:textId="08DAB9A1" w:rsidR="0097185B" w:rsidRDefault="0097185B" w:rsidP="42D0BBD2">
            <w:pPr>
              <w:rPr>
                <w:color w:val="000000" w:themeColor="text1"/>
              </w:rPr>
            </w:pPr>
          </w:p>
          <w:p w14:paraId="1579D5C3" w14:textId="1E3EE528" w:rsidR="0097185B" w:rsidRDefault="317BCB79" w:rsidP="42D0BBD2">
            <w:pPr>
              <w:rPr>
                <w:color w:val="000000" w:themeColor="text1"/>
              </w:rPr>
            </w:pPr>
            <w:r w:rsidRPr="42D0BBD2">
              <w:rPr>
                <w:color w:val="000000" w:themeColor="text1"/>
              </w:rPr>
              <w:t xml:space="preserve">A total of 600 offers of support will be issued, and with some businesses that receive type 1 support being able to apply for type 2 support, the aim is to assist a total of 460 individual businesses.  </w:t>
            </w:r>
          </w:p>
          <w:p w14:paraId="1E556EA6" w14:textId="72357D2D" w:rsidR="0097185B" w:rsidRDefault="0097185B" w:rsidP="42D0BBD2">
            <w:pPr>
              <w:rPr>
                <w:color w:val="000000" w:themeColor="text1"/>
              </w:rPr>
            </w:pPr>
          </w:p>
          <w:p w14:paraId="2030091A" w14:textId="0A33ABDA" w:rsidR="0097185B" w:rsidRDefault="317BCB79">
            <w:pPr>
              <w:rPr>
                <w:color w:val="000000"/>
              </w:rPr>
            </w:pPr>
            <w:r w:rsidRPr="42D0BBD2">
              <w:rPr>
                <w:color w:val="000000" w:themeColor="text1"/>
              </w:rPr>
              <w:t xml:space="preserve">The business case does not stipulate any “focussed” calls, such as the previously delivered Ambition to Grow Supporting Women (ATGSW) although it retains a degree of flexibility to deliver a </w:t>
            </w:r>
            <w:r w:rsidR="66E06D78" w:rsidRPr="42D0BBD2">
              <w:rPr>
                <w:color w:val="000000" w:themeColor="text1"/>
              </w:rPr>
              <w:t xml:space="preserve">call(s) targeted at a specific demographic, location or sector if it is deemed necessary to address an identified imbalance.  Approval to </w:t>
            </w:r>
            <w:r w:rsidR="18EFEF1A" w:rsidRPr="42D0BBD2">
              <w:rPr>
                <w:color w:val="000000" w:themeColor="text1"/>
              </w:rPr>
              <w:t>deliver such</w:t>
            </w:r>
            <w:r w:rsidR="0622740E" w:rsidRPr="42D0BBD2">
              <w:rPr>
                <w:color w:val="000000" w:themeColor="text1"/>
              </w:rPr>
              <w:t xml:space="preserve"> </w:t>
            </w:r>
            <w:r w:rsidR="18EFEF1A" w:rsidRPr="42D0BBD2">
              <w:rPr>
                <w:color w:val="000000" w:themeColor="text1"/>
              </w:rPr>
              <w:t xml:space="preserve">calls will be requested from Invest NI Chief Development Officer (CDO) and an updated Equality Screening will be completed at that time if required. </w:t>
            </w:r>
          </w:p>
        </w:tc>
      </w:tr>
      <w:tr w:rsidR="00886640" w14:paraId="505A36DE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5E146B0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18F1C4DB" w14:textId="77777777" w:rsidTr="0D03092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2FF7C841" w14:textId="35410BA7" w:rsidR="00886640" w:rsidRDefault="00886640">
            <w:pPr>
              <w:rPr>
                <w:color w:val="000000"/>
              </w:rPr>
            </w:pPr>
            <w:r w:rsidRPr="637078E6">
              <w:rPr>
                <w:b/>
                <w:bCs/>
                <w:color w:val="000000"/>
              </w:rPr>
              <w:lastRenderedPageBreak/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</w:t>
            </w:r>
            <w:r>
              <w:rPr>
                <w:color w:val="000000"/>
              </w:rPr>
              <w:t>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4FCA24C7" w14:textId="13844E2D" w:rsidR="00886640" w:rsidRDefault="00886640">
            <w:pPr>
              <w:rPr>
                <w:color w:val="000000"/>
              </w:rPr>
            </w:pPr>
          </w:p>
        </w:tc>
      </w:tr>
      <w:tr w:rsidR="00886640" w14:paraId="0D2F90AF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0E19C1E1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88A43BE" w14:textId="77777777" w:rsidTr="0D03092F">
        <w:trPr>
          <w:trHeight w:hRule="exact" w:val="491"/>
        </w:trPr>
        <w:tc>
          <w:tcPr>
            <w:tcW w:w="5393" w:type="dxa"/>
            <w:gridSpan w:val="4"/>
            <w:vAlign w:val="center"/>
            <w:hideMark/>
          </w:tcPr>
          <w:p w14:paraId="74CE4909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28D4D8B4" w14:textId="06A383B2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>If yes</w:t>
            </w:r>
            <w:r w:rsidR="00A3089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please continue</w:t>
            </w:r>
            <w:r w:rsidR="00A3089F">
              <w:rPr>
                <w:color w:val="000000"/>
              </w:rPr>
              <w:t xml:space="preserve"> and detail potential positive or negative impact.</w:t>
            </w:r>
          </w:p>
        </w:tc>
      </w:tr>
      <w:tr w:rsidR="00886640" w14:paraId="5877D021" w14:textId="77777777" w:rsidTr="0D03092F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5750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38C55F8" w14:textId="77777777" w:rsidTr="0D03092F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777B" w14:textId="01E1C53B" w:rsidR="00886640" w:rsidRDefault="30157CBE" w:rsidP="42D0BBD2">
            <w:r w:rsidRPr="42D0BBD2">
              <w:rPr>
                <w:color w:val="000000" w:themeColor="text1"/>
              </w:rPr>
              <w:t>No.</w:t>
            </w:r>
          </w:p>
        </w:tc>
      </w:tr>
      <w:tr w:rsidR="00886640" w14:paraId="6400418F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29CACBF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4B718BF" w14:textId="77777777" w:rsidTr="0D03092F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78E001EF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2AC1424B" w14:textId="77777777" w:rsidTr="0D03092F">
        <w:trPr>
          <w:trHeight w:val="227"/>
        </w:trPr>
        <w:tc>
          <w:tcPr>
            <w:tcW w:w="10772" w:type="dxa"/>
            <w:gridSpan w:val="7"/>
            <w:vAlign w:val="center"/>
          </w:tcPr>
          <w:p w14:paraId="3F3D390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2A316D3" w14:textId="77777777" w:rsidTr="0D03092F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53190A0B" w14:textId="3A34C4B9" w:rsidR="00886640" w:rsidRDefault="00886640">
            <w:pPr>
              <w:rPr>
                <w:color w:val="000000"/>
              </w:rPr>
            </w:pPr>
            <w:r w:rsidRPr="637078E6">
              <w:rPr>
                <w:b/>
                <w:bCs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r w:rsidR="18854890">
              <w:rPr>
                <w:color w:val="000000"/>
              </w:rPr>
              <w:t>evidence</w:t>
            </w:r>
            <w:bookmarkStart w:id="2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43023F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>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72204DF8" w14:textId="77777777" w:rsidTr="0D03092F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AF536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4F6D576" w14:textId="77777777" w:rsidTr="0D03092F">
        <w:trPr>
          <w:trHeight w:val="300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CAD6" w14:textId="56A48C88" w:rsidR="00886640" w:rsidRDefault="6D4E576A" w:rsidP="42D0BBD2">
            <w:pPr>
              <w:rPr>
                <w:rFonts w:ascii="Segoe UI" w:eastAsia="Segoe UI" w:hAnsi="Segoe UI" w:cs="Segoe UI"/>
                <w:b/>
                <w:bCs/>
                <w:noProof/>
                <w:sz w:val="21"/>
                <w:szCs w:val="21"/>
              </w:rPr>
            </w:pPr>
            <w:r w:rsidRPr="42D0BBD2">
              <w:rPr>
                <w:rFonts w:ascii="Segoe UI" w:eastAsia="Segoe UI" w:hAnsi="Segoe UI" w:cs="Segoe UI"/>
                <w:b/>
                <w:bCs/>
                <w:noProof/>
                <w:sz w:val="21"/>
                <w:szCs w:val="21"/>
              </w:rPr>
              <w:t xml:space="preserve"> N/A</w:t>
            </w:r>
          </w:p>
          <w:p w14:paraId="5C5C1DFA" w14:textId="065499A0" w:rsidR="00886640" w:rsidRDefault="00886640" w:rsidP="637078E6">
            <w:pPr>
              <w:pStyle w:val="ListParagraph"/>
              <w:rPr>
                <w:rFonts w:ascii="Segoe UI" w:eastAsia="Segoe UI" w:hAnsi="Segoe UI" w:cs="Segoe UI"/>
                <w:noProof/>
                <w:sz w:val="21"/>
                <w:szCs w:val="21"/>
              </w:rPr>
            </w:pPr>
          </w:p>
        </w:tc>
      </w:tr>
    </w:tbl>
    <w:p w14:paraId="1C680150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1"/>
        <w:gridCol w:w="2151"/>
        <w:gridCol w:w="2153"/>
        <w:gridCol w:w="2153"/>
        <w:gridCol w:w="2154"/>
      </w:tblGrid>
      <w:tr w:rsidR="00886640" w14:paraId="72A4F88B" w14:textId="77777777" w:rsidTr="42D0BBD2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5D070DB0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14:paraId="513AEFC6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3DDFE402" w14:textId="77777777" w:rsidR="00886640" w:rsidRDefault="00886640"/>
        </w:tc>
      </w:tr>
      <w:tr w:rsidR="00886640" w14:paraId="67B3C577" w14:textId="77777777" w:rsidTr="42D0BBD2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5D0D70F8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247210F2" w14:textId="77777777" w:rsidTr="42D0BBD2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4B3B" w14:textId="77777777" w:rsidR="00886640" w:rsidRDefault="00886640"/>
        </w:tc>
      </w:tr>
      <w:tr w:rsidR="00886640" w14:paraId="1150ACB4" w14:textId="77777777" w:rsidTr="42D0BBD2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6C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1A0A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6E0E9F4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4200BEEE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31A99863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55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BFC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480AFD39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5BEE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33DB8621" w14:textId="77777777" w:rsidTr="42D0BBD2">
        <w:trPr>
          <w:trHeight w:hRule="exact" w:val="249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36CD" w14:textId="77777777" w:rsidR="00886640" w:rsidRDefault="00886640">
            <w:r>
              <w:t>Religious Belief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644" w14:textId="69CBF764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78D9" w14:textId="7DC4AF4D" w:rsidR="00886640" w:rsidRDefault="00E67013">
            <w:r>
              <w:t xml:space="preserve">This programme does not actively target or exclude </w:t>
            </w:r>
            <w:r w:rsidR="00D746CF">
              <w:t xml:space="preserve">individuals from this grouping.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DA7" w14:textId="2B8A37BE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072" w14:textId="1D4DD41F" w:rsidR="00E06926" w:rsidRDefault="2960CC1F" w:rsidP="637078E6">
            <w:pPr>
              <w:pStyle w:val="Default"/>
              <w:rPr>
                <w:sz w:val="20"/>
                <w:szCs w:val="20"/>
              </w:rPr>
            </w:pPr>
            <w:r w:rsidRPr="637078E6">
              <w:rPr>
                <w:sz w:val="20"/>
                <w:szCs w:val="20"/>
              </w:rPr>
              <w:t>While the</w:t>
            </w:r>
            <w:r w:rsidR="5D1B2D42" w:rsidRPr="637078E6">
              <w:rPr>
                <w:sz w:val="20"/>
                <w:szCs w:val="20"/>
              </w:rPr>
              <w:t xml:space="preserve"> programme </w:t>
            </w:r>
            <w:r w:rsidRPr="637078E6">
              <w:rPr>
                <w:sz w:val="20"/>
                <w:szCs w:val="20"/>
              </w:rPr>
              <w:t>aim</w:t>
            </w:r>
            <w:r w:rsidR="1641B968" w:rsidRPr="637078E6">
              <w:rPr>
                <w:sz w:val="20"/>
                <w:szCs w:val="20"/>
              </w:rPr>
              <w:t>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6022FBC4" w:rsidRPr="637078E6">
              <w:rPr>
                <w:sz w:val="20"/>
                <w:szCs w:val="20"/>
              </w:rPr>
              <w:t>it does</w:t>
            </w:r>
            <w:r w:rsidRPr="637078E6">
              <w:rPr>
                <w:sz w:val="20"/>
                <w:szCs w:val="20"/>
              </w:rPr>
              <w:t xml:space="preserve"> </w:t>
            </w:r>
            <w:r w:rsidR="6A243CF0" w:rsidRPr="637078E6">
              <w:rPr>
                <w:sz w:val="20"/>
                <w:szCs w:val="20"/>
              </w:rPr>
              <w:t xml:space="preserve">not </w:t>
            </w:r>
            <w:r w:rsidRPr="637078E6">
              <w:rPr>
                <w:sz w:val="20"/>
                <w:szCs w:val="20"/>
              </w:rPr>
              <w:t>specifically address the promotion of Good Relations</w:t>
            </w:r>
            <w:r w:rsidR="5C5D88A4" w:rsidRPr="637078E6">
              <w:rPr>
                <w:sz w:val="20"/>
                <w:szCs w:val="20"/>
              </w:rPr>
              <w:t>.</w:t>
            </w:r>
          </w:p>
          <w:p w14:paraId="1BE17894" w14:textId="53A403FB" w:rsidR="00886640" w:rsidRDefault="00886640"/>
        </w:tc>
      </w:tr>
      <w:tr w:rsidR="00886640" w14:paraId="25EB59DE" w14:textId="77777777" w:rsidTr="42D0BBD2">
        <w:trPr>
          <w:trHeight w:hRule="exact" w:val="24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7AF4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A9BF" w14:textId="073CFBBC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ECAF" w14:textId="6FE34550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EFC8" w14:textId="386BBDC2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F4F" w14:textId="22905A14" w:rsidR="00886640" w:rsidRDefault="2A047C0F" w:rsidP="637078E6">
            <w:pPr>
              <w:pStyle w:val="Default"/>
            </w:pPr>
            <w:r w:rsidRPr="637078E6">
              <w:rPr>
                <w:sz w:val="20"/>
                <w:szCs w:val="20"/>
              </w:rPr>
              <w:t xml:space="preserve">While </w:t>
            </w:r>
            <w:r w:rsidR="73DCA9BB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51662F2F" w:rsidRPr="637078E6">
              <w:rPr>
                <w:sz w:val="20"/>
                <w:szCs w:val="20"/>
              </w:rPr>
              <w:t>it does</w:t>
            </w:r>
            <w:r w:rsidRPr="637078E6">
              <w:rPr>
                <w:sz w:val="20"/>
                <w:szCs w:val="20"/>
              </w:rPr>
              <w:t xml:space="preserve"> not specifically address the promotion of Good Relations</w:t>
            </w:r>
            <w:r w:rsidR="1B0B31AF" w:rsidRPr="637078E6">
              <w:rPr>
                <w:sz w:val="20"/>
                <w:szCs w:val="20"/>
              </w:rPr>
              <w:t>.</w:t>
            </w:r>
          </w:p>
        </w:tc>
      </w:tr>
      <w:tr w:rsidR="00886640" w14:paraId="5B866EC0" w14:textId="77777777" w:rsidTr="42D0BBD2">
        <w:trPr>
          <w:trHeight w:hRule="exact" w:val="255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044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B9A5" w14:textId="02C679AF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B9B8" w14:textId="4626C384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C53" w14:textId="1C1625D3" w:rsidR="00886640" w:rsidRDefault="00BC49CE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7242" w14:textId="6159AA8F" w:rsidR="00E43B8E" w:rsidRDefault="2A047C0F" w:rsidP="00E43B8E">
            <w:pPr>
              <w:pStyle w:val="Default"/>
            </w:pPr>
            <w:r w:rsidRPr="637078E6">
              <w:rPr>
                <w:sz w:val="20"/>
                <w:szCs w:val="20"/>
              </w:rPr>
              <w:t xml:space="preserve">While </w:t>
            </w:r>
            <w:r w:rsidR="1FEBE029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63166EAF" w:rsidRPr="637078E6">
              <w:rPr>
                <w:sz w:val="20"/>
                <w:szCs w:val="20"/>
              </w:rPr>
              <w:t>it does</w:t>
            </w:r>
            <w:r w:rsidRPr="637078E6">
              <w:rPr>
                <w:sz w:val="20"/>
                <w:szCs w:val="20"/>
              </w:rPr>
              <w:t xml:space="preserve"> not specifically address the promotion of Good Relations</w:t>
            </w:r>
            <w:r w:rsidR="235FE7A8" w:rsidRPr="637078E6">
              <w:rPr>
                <w:sz w:val="20"/>
                <w:szCs w:val="20"/>
              </w:rPr>
              <w:t>.</w:t>
            </w:r>
          </w:p>
          <w:p w14:paraId="7698B5E1" w14:textId="16A1475D" w:rsidR="00886640" w:rsidRDefault="00886640"/>
        </w:tc>
      </w:tr>
      <w:tr w:rsidR="00886640" w14:paraId="24CDD5AF" w14:textId="77777777" w:rsidTr="42D0BBD2">
        <w:trPr>
          <w:trHeight w:hRule="exact" w:val="553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8E3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DD6" w14:textId="3BC17BF1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AE9F" w14:textId="001AB559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879" w14:textId="1077D756" w:rsidR="00886640" w:rsidRDefault="00F35DA5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C8CD" w14:textId="1DE2EAC7" w:rsidR="00E43B8E" w:rsidRDefault="2A047C0F" w:rsidP="00E43B8E">
            <w:pPr>
              <w:pStyle w:val="Default"/>
            </w:pPr>
            <w:r w:rsidRPr="637078E6">
              <w:rPr>
                <w:sz w:val="20"/>
                <w:szCs w:val="20"/>
              </w:rPr>
              <w:t xml:space="preserve">While </w:t>
            </w:r>
            <w:r w:rsidR="6F32BF24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68C2B8A2" w:rsidRPr="637078E6">
              <w:rPr>
                <w:sz w:val="20"/>
                <w:szCs w:val="20"/>
              </w:rPr>
              <w:t>it does</w:t>
            </w:r>
            <w:r w:rsidRPr="637078E6">
              <w:rPr>
                <w:sz w:val="20"/>
                <w:szCs w:val="20"/>
              </w:rPr>
              <w:t xml:space="preserve"> not specifically address the promotion of Good Relations</w:t>
            </w:r>
            <w:r w:rsidR="6AB82642" w:rsidRPr="637078E6">
              <w:rPr>
                <w:sz w:val="20"/>
                <w:szCs w:val="20"/>
              </w:rPr>
              <w:t>.</w:t>
            </w:r>
          </w:p>
          <w:p w14:paraId="4EC63436" w14:textId="3DCC3B96" w:rsidR="00886640" w:rsidRDefault="00886640"/>
        </w:tc>
      </w:tr>
      <w:tr w:rsidR="00886640" w14:paraId="14633136" w14:textId="77777777" w:rsidTr="42D0BBD2">
        <w:trPr>
          <w:trHeight w:hRule="exact" w:val="299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ACB" w14:textId="77777777" w:rsidR="00886640" w:rsidRDefault="00886640">
            <w:r>
              <w:lastRenderedPageBreak/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C46A" w14:textId="3E7A6D28" w:rsidR="00886640" w:rsidRDefault="0AF33528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CD6" w14:textId="2A8FE1DB" w:rsidR="00886640" w:rsidRDefault="1CCF67C1">
            <w:r>
              <w:t>This programme does not actively target or exclude individuals from this grouping.</w:t>
            </w:r>
          </w:p>
          <w:p w14:paraId="5249BF7E" w14:textId="2C5834DD" w:rsidR="00886640" w:rsidRDefault="1714635E">
            <w:r>
              <w:t xml:space="preserve">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2C52" w14:textId="0F28687D" w:rsidR="00886640" w:rsidRDefault="002075E4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69E" w14:textId="1D4DD41F" w:rsidR="00886640" w:rsidRDefault="3C9D8178" w:rsidP="637078E6">
            <w:pPr>
              <w:pStyle w:val="Default"/>
              <w:rPr>
                <w:sz w:val="20"/>
                <w:szCs w:val="20"/>
              </w:rPr>
            </w:pPr>
            <w:r w:rsidRPr="637078E6">
              <w:rPr>
                <w:sz w:val="20"/>
                <w:szCs w:val="20"/>
              </w:rPr>
              <w:t>While the programme aims to improve economic prosperity, it does not specifically address the promotion of Good Relations.</w:t>
            </w:r>
          </w:p>
          <w:p w14:paraId="3C65470A" w14:textId="10367581" w:rsidR="00886640" w:rsidRDefault="00886640"/>
        </w:tc>
      </w:tr>
      <w:tr w:rsidR="00886640" w14:paraId="51C88252" w14:textId="77777777" w:rsidTr="42D0BBD2">
        <w:trPr>
          <w:trHeight w:hRule="exact" w:val="300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B1A5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D64A" w14:textId="3B1DEC83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BC70" w14:textId="2A8FE1DB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C937" w14:textId="33C8EE58" w:rsidR="00886640" w:rsidRDefault="00F35DA5">
            <w:r>
              <w:t xml:space="preserve">No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6305" w14:textId="132CCD53" w:rsidR="00E43B8E" w:rsidRDefault="2A047C0F" w:rsidP="00E43B8E">
            <w:pPr>
              <w:pStyle w:val="Default"/>
            </w:pPr>
            <w:r w:rsidRPr="637078E6">
              <w:rPr>
                <w:sz w:val="20"/>
                <w:szCs w:val="20"/>
              </w:rPr>
              <w:t xml:space="preserve">While </w:t>
            </w:r>
            <w:r w:rsidR="3E2FFDEE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54244EB5" w:rsidRPr="637078E6">
              <w:rPr>
                <w:sz w:val="20"/>
                <w:szCs w:val="20"/>
              </w:rPr>
              <w:t>it does</w:t>
            </w:r>
            <w:r w:rsidRPr="637078E6">
              <w:rPr>
                <w:sz w:val="20"/>
                <w:szCs w:val="20"/>
              </w:rPr>
              <w:t xml:space="preserve"> not specifically address the promotion of Good Relations</w:t>
            </w:r>
            <w:r w:rsidR="6AD2D95C" w:rsidRPr="637078E6">
              <w:rPr>
                <w:sz w:val="20"/>
                <w:szCs w:val="20"/>
              </w:rPr>
              <w:t>.</w:t>
            </w:r>
          </w:p>
          <w:p w14:paraId="2314031F" w14:textId="536C2724" w:rsidR="00886640" w:rsidRDefault="00886640"/>
        </w:tc>
      </w:tr>
      <w:tr w:rsidR="00886640" w14:paraId="687AA801" w14:textId="77777777" w:rsidTr="42D0BBD2">
        <w:trPr>
          <w:trHeight w:hRule="exact" w:val="225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5743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627" w14:textId="5D7ECD49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494" w14:textId="40CE94E8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683" w14:textId="4298682F" w:rsidR="00886640" w:rsidRDefault="00F35DA5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13E8" w14:textId="7D2F5FF1" w:rsidR="00E43B8E" w:rsidRDefault="2A047C0F" w:rsidP="637078E6">
            <w:pPr>
              <w:pStyle w:val="Default"/>
              <w:rPr>
                <w:sz w:val="20"/>
                <w:szCs w:val="20"/>
              </w:rPr>
            </w:pPr>
            <w:r w:rsidRPr="637078E6">
              <w:rPr>
                <w:sz w:val="20"/>
                <w:szCs w:val="20"/>
              </w:rPr>
              <w:t xml:space="preserve">While </w:t>
            </w:r>
            <w:r w:rsidR="499E587D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3E692C8F" w:rsidRPr="637078E6">
              <w:rPr>
                <w:sz w:val="20"/>
                <w:szCs w:val="20"/>
              </w:rPr>
              <w:t xml:space="preserve">it does </w:t>
            </w:r>
            <w:r w:rsidRPr="637078E6">
              <w:rPr>
                <w:sz w:val="20"/>
                <w:szCs w:val="20"/>
              </w:rPr>
              <w:t>not specifically address the promotion of Good Relation</w:t>
            </w:r>
            <w:r w:rsidR="72F28631" w:rsidRPr="637078E6">
              <w:rPr>
                <w:sz w:val="20"/>
                <w:szCs w:val="20"/>
              </w:rPr>
              <w:t>s.</w:t>
            </w:r>
          </w:p>
          <w:p w14:paraId="588103C6" w14:textId="5D99B63C" w:rsidR="00886640" w:rsidRDefault="00886640"/>
        </w:tc>
      </w:tr>
      <w:tr w:rsidR="00886640" w14:paraId="0BADFEA8" w14:textId="77777777" w:rsidTr="42D0BBD2">
        <w:trPr>
          <w:trHeight w:hRule="exact" w:val="24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2FD7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2026" w14:textId="788DF972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31DE" w14:textId="5C6526A9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BFE2" w14:textId="4C545770" w:rsidR="00886640" w:rsidRDefault="00F35DA5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F75A" w14:textId="48F073A4" w:rsidR="00886640" w:rsidRDefault="2A047C0F" w:rsidP="637078E6">
            <w:pPr>
              <w:pStyle w:val="Default"/>
              <w:rPr>
                <w:sz w:val="20"/>
                <w:szCs w:val="20"/>
              </w:rPr>
            </w:pPr>
            <w:r w:rsidRPr="637078E6">
              <w:rPr>
                <w:sz w:val="20"/>
                <w:szCs w:val="20"/>
              </w:rPr>
              <w:t xml:space="preserve">While </w:t>
            </w:r>
            <w:r w:rsidR="58069CDC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7524F4FE" w:rsidRPr="637078E6">
              <w:rPr>
                <w:sz w:val="20"/>
                <w:szCs w:val="20"/>
              </w:rPr>
              <w:t xml:space="preserve">it does </w:t>
            </w:r>
            <w:r w:rsidRPr="637078E6">
              <w:rPr>
                <w:sz w:val="20"/>
                <w:szCs w:val="20"/>
              </w:rPr>
              <w:t>not specifically address the promotion of Good Relations</w:t>
            </w:r>
            <w:r w:rsidR="73E4A213" w:rsidRPr="637078E6">
              <w:rPr>
                <w:sz w:val="20"/>
                <w:szCs w:val="20"/>
              </w:rPr>
              <w:t>.</w:t>
            </w:r>
          </w:p>
        </w:tc>
      </w:tr>
      <w:tr w:rsidR="00886640" w14:paraId="5DD1E7DA" w14:textId="77777777" w:rsidTr="42D0BBD2">
        <w:trPr>
          <w:trHeight w:hRule="exact" w:val="269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2708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9FE" w14:textId="2B21A549" w:rsidR="00886640" w:rsidRDefault="00F35DA5">
            <w:r>
              <w:t>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82E" w14:textId="354EBC24" w:rsidR="00886640" w:rsidRDefault="00D746CF">
            <w:r>
              <w:t>This programme does not actively target or exclude individuals from this grouping.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BD8E" w14:textId="7641B744" w:rsidR="00886640" w:rsidRDefault="00F35DA5">
            <w:r>
              <w:t>No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F069" w14:textId="078D26CD" w:rsidR="00886640" w:rsidRDefault="2A047C0F" w:rsidP="637078E6">
            <w:pPr>
              <w:pStyle w:val="Default"/>
            </w:pPr>
            <w:r w:rsidRPr="637078E6">
              <w:rPr>
                <w:sz w:val="20"/>
                <w:szCs w:val="20"/>
              </w:rPr>
              <w:t xml:space="preserve">While </w:t>
            </w:r>
            <w:r w:rsidR="19A49A0B" w:rsidRPr="637078E6">
              <w:rPr>
                <w:sz w:val="20"/>
                <w:szCs w:val="20"/>
              </w:rPr>
              <w:t>the programme aims</w:t>
            </w:r>
            <w:r w:rsidRPr="637078E6">
              <w:rPr>
                <w:sz w:val="20"/>
                <w:szCs w:val="20"/>
              </w:rPr>
              <w:t xml:space="preserve"> to improve economic prosperity, </w:t>
            </w:r>
            <w:r w:rsidR="26C09B08" w:rsidRPr="637078E6">
              <w:rPr>
                <w:sz w:val="20"/>
                <w:szCs w:val="20"/>
              </w:rPr>
              <w:t xml:space="preserve">it does </w:t>
            </w:r>
            <w:r w:rsidRPr="637078E6">
              <w:rPr>
                <w:sz w:val="20"/>
                <w:szCs w:val="20"/>
              </w:rPr>
              <w:t>not specifically address the promotion of Good Relations</w:t>
            </w:r>
            <w:r w:rsidR="280AF224" w:rsidRPr="637078E6">
              <w:rPr>
                <w:sz w:val="20"/>
                <w:szCs w:val="20"/>
              </w:rPr>
              <w:t>.</w:t>
            </w:r>
          </w:p>
        </w:tc>
      </w:tr>
      <w:tr w:rsidR="00886640" w14:paraId="360DE22F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58B86BD6" w14:textId="77777777" w:rsidR="00886640" w:rsidRDefault="00886640"/>
        </w:tc>
      </w:tr>
      <w:tr w:rsidR="00886640" w14:paraId="3407E86C" w14:textId="77777777" w:rsidTr="42D0BBD2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4DAAFF10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0B21A694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2E6C4862" w14:textId="77777777" w:rsidR="00886640" w:rsidRDefault="00886640"/>
        </w:tc>
      </w:tr>
      <w:tr w:rsidR="00886640" w14:paraId="15B65174" w14:textId="77777777" w:rsidTr="42D0BBD2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2500407A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02C0A674" w14:textId="77777777" w:rsidTr="42D0BBD2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F8D69" w14:textId="77777777" w:rsidR="00886640" w:rsidRDefault="00886640"/>
        </w:tc>
      </w:tr>
      <w:tr w:rsidR="00886640" w14:paraId="273D55E3" w14:textId="77777777" w:rsidTr="42D0BBD2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512F" w14:textId="62CE9503" w:rsidR="00886640" w:rsidRDefault="31242909">
            <w:r>
              <w:lastRenderedPageBreak/>
              <w:t>No adverse impact</w:t>
            </w:r>
            <w:r w:rsidR="06B90801">
              <w:t xml:space="preserve"> </w:t>
            </w:r>
            <w:r>
              <w:t xml:space="preserve">on Section 75 groups </w:t>
            </w:r>
            <w:r w:rsidR="02CD1CCF">
              <w:t>has</w:t>
            </w:r>
            <w:r>
              <w:t xml:space="preserve"> been identified. </w:t>
            </w:r>
          </w:p>
        </w:tc>
      </w:tr>
      <w:tr w:rsidR="00886640" w14:paraId="7210041A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7714BFD3" w14:textId="77777777" w:rsidR="00886640" w:rsidRDefault="00886640"/>
        </w:tc>
      </w:tr>
      <w:tr w:rsidR="00886640" w14:paraId="4B6CF97D" w14:textId="77777777" w:rsidTr="42D0BBD2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B7A3C6C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1973C687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2EAC0CCC" w14:textId="77777777" w:rsidR="00886640" w:rsidRDefault="00886640"/>
        </w:tc>
      </w:tr>
      <w:tr w:rsidR="00886640" w14:paraId="0A6E15BF" w14:textId="77777777" w:rsidTr="42D0BBD2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0993E969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3F3D5513" w14:textId="77777777" w:rsidTr="42D0BBD2">
        <w:trPr>
          <w:trHeight w:val="227"/>
        </w:trPr>
        <w:tc>
          <w:tcPr>
            <w:tcW w:w="10988" w:type="dxa"/>
            <w:gridSpan w:val="5"/>
            <w:vAlign w:val="center"/>
          </w:tcPr>
          <w:p w14:paraId="3C45077F" w14:textId="77777777" w:rsidR="00886640" w:rsidRDefault="00886640"/>
        </w:tc>
      </w:tr>
      <w:tr w:rsidR="00886640" w14:paraId="1D4BBC0B" w14:textId="77777777" w:rsidTr="42D0BBD2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8DC0" w14:textId="20767474" w:rsidR="00886640" w:rsidRDefault="7FB9A15C" w:rsidP="42D0BBD2">
            <w:r w:rsidRPr="42D0BBD2">
              <w:rPr>
                <w:rFonts w:eastAsia="Arial" w:cs="Arial"/>
                <w:szCs w:val="20"/>
              </w:rPr>
              <w:t>It is unlikely there will be an opportunity to directly impact on Good Relations</w:t>
            </w:r>
            <w:r w:rsidR="62B97E73">
              <w:t xml:space="preserve"> given the nature of this support is to businesses rather than individuals</w:t>
            </w:r>
            <w:r w:rsidR="69B0B9DE">
              <w:t>.</w:t>
            </w:r>
          </w:p>
        </w:tc>
      </w:tr>
    </w:tbl>
    <w:p w14:paraId="7D79BBCC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91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"/>
        <w:gridCol w:w="8649"/>
      </w:tblGrid>
      <w:tr w:rsidR="00886640" w14:paraId="59C0114B" w14:textId="77777777" w:rsidTr="428EB81E">
        <w:trPr>
          <w:trHeight w:val="397"/>
        </w:trPr>
        <w:tc>
          <w:tcPr>
            <w:tcW w:w="9166" w:type="dxa"/>
            <w:gridSpan w:val="2"/>
            <w:vAlign w:val="center"/>
            <w:hideMark/>
          </w:tcPr>
          <w:p w14:paraId="42267E17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14:paraId="7D12C971" w14:textId="77777777" w:rsidTr="428EB81E">
        <w:trPr>
          <w:trHeight w:val="227"/>
        </w:trPr>
        <w:tc>
          <w:tcPr>
            <w:tcW w:w="9166" w:type="dxa"/>
            <w:gridSpan w:val="2"/>
            <w:vAlign w:val="center"/>
          </w:tcPr>
          <w:p w14:paraId="38645B63" w14:textId="77777777" w:rsidR="00886640" w:rsidRDefault="00886640"/>
        </w:tc>
      </w:tr>
      <w:tr w:rsidR="00886640" w14:paraId="6D2B2F16" w14:textId="77777777" w:rsidTr="428EB81E">
        <w:trPr>
          <w:trHeight w:val="510"/>
        </w:trPr>
        <w:tc>
          <w:tcPr>
            <w:tcW w:w="9166" w:type="dxa"/>
            <w:gridSpan w:val="2"/>
            <w:vAlign w:val="center"/>
            <w:hideMark/>
          </w:tcPr>
          <w:p w14:paraId="54C6E424" w14:textId="7C38E909" w:rsidR="00886640" w:rsidRDefault="00886640">
            <w:r w:rsidRPr="637078E6">
              <w:rPr>
                <w:b/>
                <w:bCs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needs further or no further equality investigation.</w:t>
            </w:r>
          </w:p>
        </w:tc>
      </w:tr>
      <w:tr w:rsidR="00886640" w14:paraId="055E6D6E" w14:textId="77777777" w:rsidTr="428EB81E">
        <w:trPr>
          <w:trHeight w:val="227"/>
        </w:trPr>
        <w:tc>
          <w:tcPr>
            <w:tcW w:w="9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A626B" w14:textId="77777777" w:rsidR="00886640" w:rsidRDefault="00886640"/>
        </w:tc>
      </w:tr>
      <w:tr w:rsidR="00886640" w14:paraId="08C47415" w14:textId="77777777" w:rsidTr="428EB81E">
        <w:trPr>
          <w:trHeight w:val="1701"/>
        </w:trPr>
        <w:tc>
          <w:tcPr>
            <w:tcW w:w="9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D32F" w14:textId="35348A2E" w:rsidR="00886640" w:rsidRDefault="7443445B" w:rsidP="42D0BBD2">
            <w:r w:rsidRPr="42D0BBD2">
              <w:rPr>
                <w:rFonts w:eastAsia="Arial" w:cs="Arial"/>
                <w:szCs w:val="20"/>
              </w:rPr>
              <w:t>Internally discussions on the proposed scheme have, during its development, taken place with and gained input from colleagues from the following teams:</w:t>
            </w:r>
          </w:p>
          <w:p w14:paraId="22CFBA10" w14:textId="14E2163B" w:rsidR="00886640" w:rsidRDefault="00886640" w:rsidP="42D0BBD2">
            <w:pPr>
              <w:rPr>
                <w:rFonts w:eastAsia="Arial" w:cs="Arial"/>
                <w:szCs w:val="20"/>
              </w:rPr>
            </w:pPr>
          </w:p>
          <w:p w14:paraId="4088F64A" w14:textId="6D974120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Performance, Compliance &amp; Co-ordination </w:t>
            </w:r>
          </w:p>
          <w:p w14:paraId="3FF5F69A" w14:textId="1809C363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Business Appraisal Team </w:t>
            </w:r>
          </w:p>
          <w:p w14:paraId="695F8263" w14:textId="7C7A9B56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Regional Business Group </w:t>
            </w:r>
          </w:p>
          <w:p w14:paraId="4E960026" w14:textId="75CB0681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International Trade Team </w:t>
            </w:r>
          </w:p>
          <w:p w14:paraId="23C58184" w14:textId="6B164BFF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Offers &amp; Claims Team </w:t>
            </w:r>
          </w:p>
          <w:p w14:paraId="3EB7A846" w14:textId="1A37BDA5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E-business Team </w:t>
            </w:r>
          </w:p>
          <w:p w14:paraId="0958665A" w14:textId="5A851EB9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 xml:space="preserve">Regional Business Managers </w:t>
            </w:r>
          </w:p>
          <w:p w14:paraId="14E3D3FA" w14:textId="2D958B45" w:rsidR="00886640" w:rsidRDefault="7443445B" w:rsidP="42D0BBD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eastAsia="Arial" w:cs="Arial"/>
                <w:szCs w:val="20"/>
              </w:rPr>
            </w:pPr>
            <w:r w:rsidRPr="42D0BBD2">
              <w:rPr>
                <w:rFonts w:eastAsia="Arial" w:cs="Arial"/>
                <w:szCs w:val="20"/>
              </w:rPr>
              <w:t>Invest NI Equality Unit</w:t>
            </w:r>
          </w:p>
          <w:p w14:paraId="1298BE2D" w14:textId="0641860B" w:rsidR="00886640" w:rsidRDefault="00886640"/>
        </w:tc>
      </w:tr>
      <w:tr w:rsidR="00886640" w14:paraId="4039BA02" w14:textId="77777777" w:rsidTr="428EB81E">
        <w:trPr>
          <w:trHeight w:val="227"/>
        </w:trPr>
        <w:tc>
          <w:tcPr>
            <w:tcW w:w="9166" w:type="dxa"/>
            <w:gridSpan w:val="2"/>
            <w:vAlign w:val="center"/>
          </w:tcPr>
          <w:p w14:paraId="73A5F1CA" w14:textId="77777777" w:rsidR="00886640" w:rsidRDefault="00886640"/>
        </w:tc>
      </w:tr>
      <w:tr w:rsidR="00886640" w14:paraId="3568D662" w14:textId="77777777" w:rsidTr="428EB81E">
        <w:trPr>
          <w:trHeight w:val="397"/>
        </w:trPr>
        <w:tc>
          <w:tcPr>
            <w:tcW w:w="9166" w:type="dxa"/>
            <w:gridSpan w:val="2"/>
            <w:vAlign w:val="center"/>
            <w:hideMark/>
          </w:tcPr>
          <w:p w14:paraId="01A1C0A9" w14:textId="79BBC55E" w:rsidR="00886640" w:rsidRDefault="00886640">
            <w:pPr>
              <w:rPr>
                <w:color w:val="000000"/>
              </w:rPr>
            </w:pPr>
            <w:r w:rsidRPr="637078E6">
              <w:rPr>
                <w:b/>
                <w:bCs/>
              </w:rPr>
              <w:t xml:space="preserve">Question 8 </w:t>
            </w:r>
            <w:r>
              <w:t>– In light of the above should the</w:t>
            </w:r>
            <w:r w:rsidR="4DC4F427">
              <w:t xml:space="preserve"> programme</w:t>
            </w:r>
            <w:r>
              <w:rPr>
                <w:color w:val="000000"/>
              </w:rPr>
              <w:t xml:space="preserve"> be</w:t>
            </w:r>
            <w:r w:rsidR="3AEB3684">
              <w:rPr>
                <w:color w:val="000000"/>
              </w:rPr>
              <w:t>:</w:t>
            </w:r>
          </w:p>
        </w:tc>
      </w:tr>
      <w:tr w:rsidR="00886640" w14:paraId="063BFFCC" w14:textId="77777777" w:rsidTr="428EB81E">
        <w:trPr>
          <w:trHeight w:val="227"/>
        </w:trPr>
        <w:tc>
          <w:tcPr>
            <w:tcW w:w="9166" w:type="dxa"/>
            <w:gridSpan w:val="2"/>
            <w:vAlign w:val="center"/>
          </w:tcPr>
          <w:p w14:paraId="11F52FEB" w14:textId="77777777" w:rsidR="00886640" w:rsidRDefault="00886640"/>
        </w:tc>
      </w:tr>
      <w:tr w:rsidR="00886640" w14:paraId="0F45DE1D" w14:textId="77777777" w:rsidTr="428EB81E">
        <w:trPr>
          <w:trHeight w:val="390"/>
        </w:trPr>
        <w:tc>
          <w:tcPr>
            <w:tcW w:w="517" w:type="dxa"/>
            <w:vAlign w:val="center"/>
            <w:hideMark/>
          </w:tcPr>
          <w:p w14:paraId="46D0FC24" w14:textId="47AAA2F0" w:rsidR="00886640" w:rsidRDefault="00F05D30">
            <w:r>
              <w:fldChar w:fldCharType="begin">
                <w:fldData xml:space="preserve">/////2UAAAAUAAYAQwBoAGUAYwBrADEAAAABAAAAAAAAAAAAAAAAAAAAAAAAAAAA
</w:fldData>
              </w:fldChar>
            </w:r>
            <w:bookmarkStart w:id="3" w:name="Check1"/>
            <w:r w:rsidR="3AEB3684">
              <w:instrText>x</w:instrText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649" w:type="dxa"/>
            <w:vAlign w:val="center"/>
            <w:hideMark/>
          </w:tcPr>
          <w:p w14:paraId="5A65D269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2E321E78" w14:textId="77777777" w:rsidTr="428EB81E">
        <w:trPr>
          <w:trHeight w:val="1134"/>
        </w:trPr>
        <w:tc>
          <w:tcPr>
            <w:tcW w:w="9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5D4" w14:textId="5735C4F0" w:rsidR="00C8071F" w:rsidRDefault="2E6EF081" w:rsidP="00C8071F">
            <w:pPr>
              <w:pStyle w:val="Default"/>
              <w:rPr>
                <w:sz w:val="20"/>
                <w:szCs w:val="20"/>
              </w:rPr>
            </w:pPr>
            <w:r w:rsidRPr="42D0BBD2">
              <w:rPr>
                <w:sz w:val="20"/>
                <w:szCs w:val="20"/>
              </w:rPr>
              <w:t xml:space="preserve">The Ambition to Grow programme is not </w:t>
            </w:r>
            <w:r w:rsidR="73456826" w:rsidRPr="42D0BBD2">
              <w:rPr>
                <w:sz w:val="20"/>
                <w:szCs w:val="20"/>
              </w:rPr>
              <w:t>anticipated</w:t>
            </w:r>
            <w:r w:rsidRPr="42D0BBD2">
              <w:rPr>
                <w:sz w:val="20"/>
                <w:szCs w:val="20"/>
              </w:rPr>
              <w:t xml:space="preserve"> to impact negatively on any Section 75 groups. </w:t>
            </w:r>
          </w:p>
          <w:p w14:paraId="03E06345" w14:textId="77777777" w:rsidR="008F62A9" w:rsidRDefault="008F62A9" w:rsidP="00C8071F">
            <w:pPr>
              <w:pStyle w:val="Default"/>
              <w:rPr>
                <w:sz w:val="20"/>
                <w:szCs w:val="20"/>
              </w:rPr>
            </w:pPr>
          </w:p>
          <w:p w14:paraId="08F271FD" w14:textId="77777777" w:rsidR="00D7042F" w:rsidRDefault="00D7042F" w:rsidP="00C8071F">
            <w:pPr>
              <w:pStyle w:val="Default"/>
              <w:rPr>
                <w:sz w:val="20"/>
                <w:szCs w:val="20"/>
              </w:rPr>
            </w:pPr>
          </w:p>
          <w:p w14:paraId="50DF7D4B" w14:textId="77777777" w:rsidR="00D7042F" w:rsidRDefault="00D7042F" w:rsidP="00C8071F">
            <w:pPr>
              <w:pStyle w:val="Default"/>
              <w:rPr>
                <w:sz w:val="20"/>
                <w:szCs w:val="20"/>
              </w:rPr>
            </w:pPr>
          </w:p>
          <w:p w14:paraId="2C2C3B7F" w14:textId="491AB58F" w:rsidR="00C8071F" w:rsidRDefault="00C8071F" w:rsidP="00C807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666BB75" w14:textId="56B1DAFA" w:rsidR="00886640" w:rsidRDefault="00C8071F" w:rsidP="00C8071F">
            <w:r>
              <w:rPr>
                <w:szCs w:val="20"/>
              </w:rPr>
              <w:t xml:space="preserve"> </w:t>
            </w:r>
          </w:p>
        </w:tc>
      </w:tr>
      <w:tr w:rsidR="00886640" w14:paraId="78D4D8A3" w14:textId="77777777" w:rsidTr="428EB81E">
        <w:trPr>
          <w:trHeight w:val="390"/>
        </w:trPr>
        <w:tc>
          <w:tcPr>
            <w:tcW w:w="517" w:type="dxa"/>
            <w:vAlign w:val="center"/>
            <w:hideMark/>
          </w:tcPr>
          <w:p w14:paraId="53C7A674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649" w:type="dxa"/>
            <w:vAlign w:val="center"/>
            <w:hideMark/>
          </w:tcPr>
          <w:p w14:paraId="2D498735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30426E00" w14:textId="77777777" w:rsidTr="428EB81E">
        <w:trPr>
          <w:trHeight w:val="1134"/>
        </w:trPr>
        <w:tc>
          <w:tcPr>
            <w:tcW w:w="9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E3FF" w14:textId="5F5A5F15" w:rsidR="00886640" w:rsidRDefault="000468E9">
            <w:r>
              <w:t>N/A</w:t>
            </w:r>
          </w:p>
        </w:tc>
      </w:tr>
      <w:tr w:rsidR="00886640" w14:paraId="4184AC1E" w14:textId="77777777" w:rsidTr="428EB81E">
        <w:trPr>
          <w:trHeight w:val="390"/>
        </w:trPr>
        <w:tc>
          <w:tcPr>
            <w:tcW w:w="517" w:type="dxa"/>
            <w:vAlign w:val="center"/>
            <w:hideMark/>
          </w:tcPr>
          <w:p w14:paraId="7F82D0F6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649" w:type="dxa"/>
            <w:vAlign w:val="center"/>
            <w:hideMark/>
          </w:tcPr>
          <w:p w14:paraId="58975AD6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BD286A7" w14:textId="77777777" w:rsidTr="428EB81E">
        <w:trPr>
          <w:trHeight w:val="1134"/>
        </w:trPr>
        <w:tc>
          <w:tcPr>
            <w:tcW w:w="9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B7" w14:textId="3459C0AF" w:rsidR="00886640" w:rsidRDefault="000468E9">
            <w:r>
              <w:t>N/A</w:t>
            </w:r>
          </w:p>
        </w:tc>
      </w:tr>
      <w:tr w:rsidR="00886640" w14:paraId="74031DED" w14:textId="77777777" w:rsidTr="428EB81E">
        <w:trPr>
          <w:trHeight w:val="227"/>
        </w:trPr>
        <w:tc>
          <w:tcPr>
            <w:tcW w:w="9166" w:type="dxa"/>
            <w:gridSpan w:val="2"/>
            <w:vAlign w:val="center"/>
          </w:tcPr>
          <w:p w14:paraId="7C91C7F4" w14:textId="6EFA5D27" w:rsidR="00886640" w:rsidRDefault="00886640"/>
          <w:p w14:paraId="7CE41DD3" w14:textId="4ACC2F5F" w:rsidR="00886640" w:rsidRDefault="00886640"/>
          <w:p w14:paraId="4AA482C1" w14:textId="3EACB525" w:rsidR="00886640" w:rsidRDefault="00886640"/>
          <w:p w14:paraId="3BB22236" w14:textId="1550DAE1" w:rsidR="00886640" w:rsidRDefault="019B3DC4" w:rsidP="0D03092F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t xml:space="preserve">Signed: </w:t>
            </w:r>
            <w:r w:rsidRPr="0D03092F">
              <w:rPr>
                <w:rFonts w:ascii="Blackadder ITC" w:eastAsia="Blackadder ITC" w:hAnsi="Blackadder ITC" w:cs="Blackadder ITC"/>
                <w:sz w:val="24"/>
                <w:u w:val="single"/>
              </w:rPr>
              <w:t xml:space="preserve">Ronan Trainor          </w:t>
            </w:r>
            <w:r w:rsidRPr="0D03092F">
              <w:rPr>
                <w:rFonts w:ascii="Blackadder ITC" w:eastAsia="Blackadder ITC" w:hAnsi="Blackadder ITC" w:cs="Blackadder ITC"/>
                <w:sz w:val="24"/>
              </w:rPr>
              <w:t xml:space="preserve">           </w:t>
            </w:r>
            <w:r w:rsidR="5F6979DB" w:rsidRPr="0D03092F">
              <w:rPr>
                <w:rFonts w:ascii="Blackadder ITC" w:eastAsia="Blackadder ITC" w:hAnsi="Blackadder ITC" w:cs="Blackadder ITC"/>
                <w:sz w:val="24"/>
              </w:rPr>
              <w:t xml:space="preserve">                                                   </w:t>
            </w:r>
            <w:r w:rsidRPr="0D03092F">
              <w:rPr>
                <w:rFonts w:eastAsia="Arial" w:cs="Arial"/>
                <w:szCs w:val="20"/>
              </w:rPr>
              <w:t>Date:            6</w:t>
            </w:r>
            <w:r w:rsidRPr="0D03092F">
              <w:rPr>
                <w:rFonts w:eastAsia="Arial" w:cs="Arial"/>
                <w:szCs w:val="20"/>
                <w:vertAlign w:val="superscript"/>
              </w:rPr>
              <w:t>th</w:t>
            </w:r>
            <w:r w:rsidRPr="0D03092F">
              <w:rPr>
                <w:rFonts w:eastAsia="Arial" w:cs="Arial"/>
                <w:szCs w:val="20"/>
              </w:rPr>
              <w:t xml:space="preserve"> </w:t>
            </w:r>
            <w:r w:rsidR="041A8FBF" w:rsidRPr="0D03092F">
              <w:rPr>
                <w:rFonts w:eastAsia="Arial" w:cs="Arial"/>
                <w:szCs w:val="20"/>
              </w:rPr>
              <w:t>January 2026</w:t>
            </w:r>
            <w:r w:rsidRPr="0D03092F">
              <w:rPr>
                <w:rFonts w:ascii="Blackadder ITC" w:eastAsia="Blackadder ITC" w:hAnsi="Blackadder ITC" w:cs="Blackadder ITC"/>
                <w:sz w:val="24"/>
              </w:rPr>
              <w:t xml:space="preserve">    </w:t>
            </w:r>
          </w:p>
          <w:p w14:paraId="6922F363" w14:textId="2C2C94DD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2121C74E" w14:textId="17BA5F6A" w:rsidR="00886640" w:rsidRDefault="330EF7A3" w:rsidP="0D03092F">
            <w:pPr>
              <w:rPr>
                <w:rFonts w:eastAsia="Arial" w:cs="Arial"/>
                <w:sz w:val="18"/>
                <w:szCs w:val="18"/>
              </w:rPr>
            </w:pPr>
            <w:r w:rsidRPr="0D03092F">
              <w:rPr>
                <w:rFonts w:eastAsia="Arial" w:cs="Arial"/>
                <w:szCs w:val="20"/>
              </w:rPr>
              <w:t xml:space="preserve">Ronan Trainor – Head of Regional Competitions </w:t>
            </w:r>
          </w:p>
          <w:p w14:paraId="35114FE6" w14:textId="75544040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15D5C155" w14:textId="087ED6BB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270480F1" w14:textId="1434B330" w:rsidR="00886640" w:rsidRDefault="00886640" w:rsidP="0D03092F">
            <w:pPr>
              <w:rPr>
                <w:rFonts w:ascii="Blackadder ITC" w:eastAsia="Blackadder ITC" w:hAnsi="Blackadder ITC" w:cs="Blackadder ITC"/>
                <w:sz w:val="24"/>
              </w:rPr>
            </w:pPr>
          </w:p>
          <w:p w14:paraId="613712E2" w14:textId="69BE47CE" w:rsidR="00886640" w:rsidRDefault="2F92EBB9" w:rsidP="0D03092F">
            <w:pPr>
              <w:rPr>
                <w:rFonts w:eastAsia="Arial" w:cs="Arial"/>
                <w:szCs w:val="20"/>
              </w:rPr>
            </w:pPr>
            <w:r w:rsidRPr="428EB81E">
              <w:rPr>
                <w:rFonts w:eastAsia="Arial" w:cs="Arial"/>
                <w:szCs w:val="20"/>
              </w:rPr>
              <w:t>Approved __</w:t>
            </w:r>
            <w:r w:rsidR="5913C44A" w:rsidRPr="428EB81E">
              <w:rPr>
                <w:rFonts w:ascii="Baguet Script" w:eastAsia="Baguet Script" w:hAnsi="Baguet Script" w:cs="Baguet Script"/>
                <w:i/>
                <w:iCs/>
                <w:szCs w:val="20"/>
              </w:rPr>
              <w:t>Pamela Marron</w:t>
            </w:r>
            <w:r w:rsidRPr="428EB81E">
              <w:rPr>
                <w:rFonts w:eastAsia="Arial" w:cs="Arial"/>
                <w:szCs w:val="20"/>
              </w:rPr>
              <w:t>_____________________</w:t>
            </w:r>
            <w:r w:rsidR="78AD17B9" w:rsidRPr="428EB81E">
              <w:rPr>
                <w:rFonts w:eastAsia="Arial" w:cs="Arial"/>
                <w:szCs w:val="20"/>
              </w:rPr>
              <w:t xml:space="preserve">                     Date: </w:t>
            </w:r>
            <w:r w:rsidR="59D46A45" w:rsidRPr="428EB81E">
              <w:rPr>
                <w:rFonts w:eastAsia="Arial" w:cs="Arial"/>
                <w:szCs w:val="20"/>
              </w:rPr>
              <w:t>6/01/26</w:t>
            </w:r>
          </w:p>
          <w:p w14:paraId="508917C3" w14:textId="2496CB88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3819021C" w14:textId="2883FCF4" w:rsidR="00886640" w:rsidRDefault="1CC44322" w:rsidP="0D03092F">
            <w:pPr>
              <w:rPr>
                <w:rFonts w:eastAsia="Arial" w:cs="Arial"/>
                <w:szCs w:val="20"/>
              </w:rPr>
            </w:pPr>
            <w:r w:rsidRPr="0D03092F">
              <w:rPr>
                <w:rFonts w:eastAsia="Arial" w:cs="Arial"/>
                <w:szCs w:val="20"/>
              </w:rPr>
              <w:t>Pamela Marron - Equality Manager</w:t>
            </w:r>
          </w:p>
          <w:p w14:paraId="03949E0A" w14:textId="696E9CC2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5BBD93E9" w14:textId="5D9D2465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4FEC9168" w14:textId="7043E6FF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3177CAAF" w14:textId="0274D8DE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431837A0" w14:textId="20FBA593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39FA815D" w14:textId="63765908" w:rsidR="00886640" w:rsidRDefault="1CC44322" w:rsidP="0D03092F">
            <w:pPr>
              <w:rPr>
                <w:rFonts w:eastAsia="Arial" w:cs="Arial"/>
                <w:szCs w:val="20"/>
              </w:rPr>
            </w:pPr>
            <w:r w:rsidRPr="0D03092F">
              <w:rPr>
                <w:rFonts w:eastAsia="Arial" w:cs="Arial"/>
                <w:szCs w:val="20"/>
              </w:rPr>
              <w:lastRenderedPageBreak/>
              <w:t>Modifications Made                                                    Date:</w:t>
            </w:r>
          </w:p>
          <w:p w14:paraId="448F0494" w14:textId="5B7FE857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50E080EF" w14:textId="7F81FD9B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792CA54D" w14:textId="6FFF150F" w:rsidR="00886640" w:rsidRDefault="00886640" w:rsidP="0D03092F">
            <w:pPr>
              <w:rPr>
                <w:rFonts w:eastAsia="Arial" w:cs="Arial"/>
                <w:szCs w:val="20"/>
              </w:rPr>
            </w:pPr>
          </w:p>
          <w:p w14:paraId="22CCC8DA" w14:textId="1872BE11" w:rsidR="00886640" w:rsidRDefault="1CC44322" w:rsidP="0D03092F">
            <w:pPr>
              <w:rPr>
                <w:rFonts w:eastAsia="Arial" w:cs="Arial"/>
                <w:szCs w:val="20"/>
              </w:rPr>
            </w:pPr>
            <w:r w:rsidRPr="0D03092F">
              <w:rPr>
                <w:rFonts w:eastAsia="Arial" w:cs="Arial"/>
                <w:szCs w:val="20"/>
              </w:rPr>
              <w:t>________________________________                   Date:</w:t>
            </w:r>
          </w:p>
          <w:p w14:paraId="2B15BEFA" w14:textId="51BF2B68" w:rsidR="00886640" w:rsidRDefault="1CC44322" w:rsidP="0D03092F">
            <w:pPr>
              <w:rPr>
                <w:rFonts w:eastAsia="Arial" w:cs="Arial"/>
                <w:szCs w:val="20"/>
              </w:rPr>
            </w:pPr>
            <w:r w:rsidRPr="0D03092F">
              <w:rPr>
                <w:rFonts w:eastAsia="Arial" w:cs="Arial"/>
                <w:szCs w:val="20"/>
              </w:rPr>
              <w:t>Approved by Equality Manager</w:t>
            </w:r>
          </w:p>
          <w:p w14:paraId="16847EDA" w14:textId="2FCA9C6A" w:rsidR="00886640" w:rsidRDefault="019B3DC4" w:rsidP="0D03092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D03092F">
              <w:rPr>
                <w:rFonts w:ascii="Blackadder ITC" w:eastAsia="Blackadder ITC" w:hAnsi="Blackadder ITC" w:cs="Blackadder ITC"/>
                <w:sz w:val="24"/>
              </w:rPr>
              <w:t xml:space="preserve">                  </w:t>
            </w:r>
          </w:p>
        </w:tc>
      </w:tr>
    </w:tbl>
    <w:p w14:paraId="49F4A688" w14:textId="77777777" w:rsidR="00886640" w:rsidRDefault="00886640" w:rsidP="00886640"/>
    <w:p w14:paraId="49A590F6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088rcsL" int2:invalidationBookmarkName="" int2:hashCode="/4fOpKSLdzQqLb" int2:id="P4tSgTW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85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36FBA"/>
    <w:multiLevelType w:val="hybridMultilevel"/>
    <w:tmpl w:val="AC9A311C"/>
    <w:lvl w:ilvl="0" w:tplc="4A4A6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899FE"/>
    <w:multiLevelType w:val="hybridMultilevel"/>
    <w:tmpl w:val="A8987F5C"/>
    <w:lvl w:ilvl="0" w:tplc="6E3687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2A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C1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CA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2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85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2B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88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EA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1D7C"/>
    <w:multiLevelType w:val="hybridMultilevel"/>
    <w:tmpl w:val="5D9A5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87641"/>
    <w:multiLevelType w:val="hybridMultilevel"/>
    <w:tmpl w:val="D72432D2"/>
    <w:lvl w:ilvl="0" w:tplc="3224F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8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8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2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A9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64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A4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9D5AC"/>
    <w:multiLevelType w:val="hybridMultilevel"/>
    <w:tmpl w:val="7F3237F2"/>
    <w:lvl w:ilvl="0" w:tplc="BECAB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46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7CB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02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E8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C9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E3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45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C9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4990">
    <w:abstractNumId w:val="2"/>
  </w:num>
  <w:num w:numId="2" w16cid:durableId="823273875">
    <w:abstractNumId w:val="5"/>
  </w:num>
  <w:num w:numId="3" w16cid:durableId="643241873">
    <w:abstractNumId w:val="4"/>
  </w:num>
  <w:num w:numId="4" w16cid:durableId="853031303">
    <w:abstractNumId w:val="1"/>
  </w:num>
  <w:num w:numId="5" w16cid:durableId="120269824">
    <w:abstractNumId w:val="0"/>
  </w:num>
  <w:num w:numId="6" w16cid:durableId="213038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040FD1"/>
    <w:rsid w:val="000468E9"/>
    <w:rsid w:val="0006796F"/>
    <w:rsid w:val="000A2781"/>
    <w:rsid w:val="000A5B0A"/>
    <w:rsid w:val="000B047A"/>
    <w:rsid w:val="000B5612"/>
    <w:rsid w:val="000C2CA0"/>
    <w:rsid w:val="000F1045"/>
    <w:rsid w:val="00101EC4"/>
    <w:rsid w:val="0011093D"/>
    <w:rsid w:val="001277D9"/>
    <w:rsid w:val="00165D14"/>
    <w:rsid w:val="00165FF2"/>
    <w:rsid w:val="00182CCD"/>
    <w:rsid w:val="001935BD"/>
    <w:rsid w:val="001B5B0B"/>
    <w:rsid w:val="001E4F6F"/>
    <w:rsid w:val="001E573D"/>
    <w:rsid w:val="002075E4"/>
    <w:rsid w:val="0021421F"/>
    <w:rsid w:val="00226367"/>
    <w:rsid w:val="002526A3"/>
    <w:rsid w:val="00260785"/>
    <w:rsid w:val="002B0E85"/>
    <w:rsid w:val="002D35F9"/>
    <w:rsid w:val="002E0F0B"/>
    <w:rsid w:val="002F2920"/>
    <w:rsid w:val="002F7E91"/>
    <w:rsid w:val="00301D99"/>
    <w:rsid w:val="0035620B"/>
    <w:rsid w:val="00361898"/>
    <w:rsid w:val="00365D15"/>
    <w:rsid w:val="003A4EBD"/>
    <w:rsid w:val="003D5032"/>
    <w:rsid w:val="00423D52"/>
    <w:rsid w:val="0043023F"/>
    <w:rsid w:val="00491D61"/>
    <w:rsid w:val="004B70FE"/>
    <w:rsid w:val="004C72E7"/>
    <w:rsid w:val="004E3574"/>
    <w:rsid w:val="004F061E"/>
    <w:rsid w:val="00510899"/>
    <w:rsid w:val="00512445"/>
    <w:rsid w:val="00531331"/>
    <w:rsid w:val="0055009F"/>
    <w:rsid w:val="005635D0"/>
    <w:rsid w:val="00583437"/>
    <w:rsid w:val="005A4703"/>
    <w:rsid w:val="005C6F16"/>
    <w:rsid w:val="006157EC"/>
    <w:rsid w:val="00677649"/>
    <w:rsid w:val="006B253E"/>
    <w:rsid w:val="006B3AE3"/>
    <w:rsid w:val="006C10A3"/>
    <w:rsid w:val="006E2BA2"/>
    <w:rsid w:val="007001C0"/>
    <w:rsid w:val="00707CE5"/>
    <w:rsid w:val="00745C17"/>
    <w:rsid w:val="0075054F"/>
    <w:rsid w:val="00750954"/>
    <w:rsid w:val="0075753B"/>
    <w:rsid w:val="0076180B"/>
    <w:rsid w:val="0078357A"/>
    <w:rsid w:val="0079001D"/>
    <w:rsid w:val="007A642C"/>
    <w:rsid w:val="007D11F8"/>
    <w:rsid w:val="007E6391"/>
    <w:rsid w:val="00823C20"/>
    <w:rsid w:val="008301AB"/>
    <w:rsid w:val="00844392"/>
    <w:rsid w:val="00854DCD"/>
    <w:rsid w:val="00886640"/>
    <w:rsid w:val="008870B9"/>
    <w:rsid w:val="008B4184"/>
    <w:rsid w:val="008D0EFA"/>
    <w:rsid w:val="008E796E"/>
    <w:rsid w:val="008F0CA4"/>
    <w:rsid w:val="008F62A9"/>
    <w:rsid w:val="009355BF"/>
    <w:rsid w:val="009423D1"/>
    <w:rsid w:val="00961A37"/>
    <w:rsid w:val="00965911"/>
    <w:rsid w:val="009679D6"/>
    <w:rsid w:val="0097185B"/>
    <w:rsid w:val="009B2240"/>
    <w:rsid w:val="009C33E8"/>
    <w:rsid w:val="009C6687"/>
    <w:rsid w:val="00A3089F"/>
    <w:rsid w:val="00A35563"/>
    <w:rsid w:val="00A44F13"/>
    <w:rsid w:val="00A6484B"/>
    <w:rsid w:val="00A73B20"/>
    <w:rsid w:val="00A77DDA"/>
    <w:rsid w:val="00A8191D"/>
    <w:rsid w:val="00A863C6"/>
    <w:rsid w:val="00AB0715"/>
    <w:rsid w:val="00AD0619"/>
    <w:rsid w:val="00AD16AF"/>
    <w:rsid w:val="00AE14C4"/>
    <w:rsid w:val="00AE717A"/>
    <w:rsid w:val="00AE7CFA"/>
    <w:rsid w:val="00AF66D2"/>
    <w:rsid w:val="00B003F9"/>
    <w:rsid w:val="00B438BA"/>
    <w:rsid w:val="00B60D8B"/>
    <w:rsid w:val="00B8196C"/>
    <w:rsid w:val="00BA1ECC"/>
    <w:rsid w:val="00BB07F2"/>
    <w:rsid w:val="00BB61FA"/>
    <w:rsid w:val="00BC49CE"/>
    <w:rsid w:val="00BE11C9"/>
    <w:rsid w:val="00BE5B7A"/>
    <w:rsid w:val="00BF30C8"/>
    <w:rsid w:val="00C00C7F"/>
    <w:rsid w:val="00C59E2F"/>
    <w:rsid w:val="00C700BF"/>
    <w:rsid w:val="00C7698E"/>
    <w:rsid w:val="00C8071F"/>
    <w:rsid w:val="00C8435A"/>
    <w:rsid w:val="00CA3DA6"/>
    <w:rsid w:val="00CD1445"/>
    <w:rsid w:val="00CD300E"/>
    <w:rsid w:val="00D1358B"/>
    <w:rsid w:val="00D221B1"/>
    <w:rsid w:val="00D2431C"/>
    <w:rsid w:val="00D25A0B"/>
    <w:rsid w:val="00D7042F"/>
    <w:rsid w:val="00D72067"/>
    <w:rsid w:val="00D746CF"/>
    <w:rsid w:val="00D8013B"/>
    <w:rsid w:val="00DC25E1"/>
    <w:rsid w:val="00E06926"/>
    <w:rsid w:val="00E43B8E"/>
    <w:rsid w:val="00E67013"/>
    <w:rsid w:val="00EA5AF1"/>
    <w:rsid w:val="00EA7D39"/>
    <w:rsid w:val="00EB23E3"/>
    <w:rsid w:val="00ED3C14"/>
    <w:rsid w:val="00EE56F5"/>
    <w:rsid w:val="00EE7511"/>
    <w:rsid w:val="00EF7A83"/>
    <w:rsid w:val="00F05D30"/>
    <w:rsid w:val="00F161D4"/>
    <w:rsid w:val="00F35DA5"/>
    <w:rsid w:val="00F4336E"/>
    <w:rsid w:val="00F43BDC"/>
    <w:rsid w:val="00F501B0"/>
    <w:rsid w:val="00F92F9A"/>
    <w:rsid w:val="00F943A5"/>
    <w:rsid w:val="00FB6825"/>
    <w:rsid w:val="00FC3D5C"/>
    <w:rsid w:val="00FC46A6"/>
    <w:rsid w:val="00FE3647"/>
    <w:rsid w:val="00FF0C54"/>
    <w:rsid w:val="019B1A85"/>
    <w:rsid w:val="019B3DC4"/>
    <w:rsid w:val="020C04EF"/>
    <w:rsid w:val="027A84E0"/>
    <w:rsid w:val="02CD1CCF"/>
    <w:rsid w:val="031CC9D6"/>
    <w:rsid w:val="038EB281"/>
    <w:rsid w:val="041A8FBF"/>
    <w:rsid w:val="0622740E"/>
    <w:rsid w:val="06B90801"/>
    <w:rsid w:val="074C9061"/>
    <w:rsid w:val="07672D62"/>
    <w:rsid w:val="07687B8C"/>
    <w:rsid w:val="086A7AB4"/>
    <w:rsid w:val="0AF33528"/>
    <w:rsid w:val="0B37F6E5"/>
    <w:rsid w:val="0CA651C2"/>
    <w:rsid w:val="0D03092F"/>
    <w:rsid w:val="0E44C5F0"/>
    <w:rsid w:val="0E4D13A2"/>
    <w:rsid w:val="0F1B38E0"/>
    <w:rsid w:val="0FB9F56E"/>
    <w:rsid w:val="107D4DC1"/>
    <w:rsid w:val="147B9576"/>
    <w:rsid w:val="1641B968"/>
    <w:rsid w:val="16BF0068"/>
    <w:rsid w:val="1714635E"/>
    <w:rsid w:val="17FF651F"/>
    <w:rsid w:val="18854890"/>
    <w:rsid w:val="18EFEF1A"/>
    <w:rsid w:val="18F30DFB"/>
    <w:rsid w:val="1980790A"/>
    <w:rsid w:val="19A49A0B"/>
    <w:rsid w:val="19C384F6"/>
    <w:rsid w:val="19D73007"/>
    <w:rsid w:val="1B0B31AF"/>
    <w:rsid w:val="1BEA54B1"/>
    <w:rsid w:val="1C4E9386"/>
    <w:rsid w:val="1CC44322"/>
    <w:rsid w:val="1CCF67C1"/>
    <w:rsid w:val="1D60286E"/>
    <w:rsid w:val="1D6EAB5F"/>
    <w:rsid w:val="1D783679"/>
    <w:rsid w:val="1DDA9657"/>
    <w:rsid w:val="1FEBE029"/>
    <w:rsid w:val="2056F369"/>
    <w:rsid w:val="21AB7366"/>
    <w:rsid w:val="21D0319F"/>
    <w:rsid w:val="221A5D6C"/>
    <w:rsid w:val="229E9D90"/>
    <w:rsid w:val="235FE7A8"/>
    <w:rsid w:val="23EC4E7D"/>
    <w:rsid w:val="24AFA863"/>
    <w:rsid w:val="24BC3B6A"/>
    <w:rsid w:val="255AF753"/>
    <w:rsid w:val="2589B979"/>
    <w:rsid w:val="26C09B08"/>
    <w:rsid w:val="280AF224"/>
    <w:rsid w:val="29077872"/>
    <w:rsid w:val="2960CC1F"/>
    <w:rsid w:val="29C0A755"/>
    <w:rsid w:val="29D81F3B"/>
    <w:rsid w:val="2A047C0F"/>
    <w:rsid w:val="2AD975C9"/>
    <w:rsid w:val="2AF142FC"/>
    <w:rsid w:val="2D34914F"/>
    <w:rsid w:val="2E6EF081"/>
    <w:rsid w:val="2EFE3376"/>
    <w:rsid w:val="2F92EBB9"/>
    <w:rsid w:val="2FC2C3AD"/>
    <w:rsid w:val="30157CBE"/>
    <w:rsid w:val="31242909"/>
    <w:rsid w:val="317BCB79"/>
    <w:rsid w:val="330EF7A3"/>
    <w:rsid w:val="341918CC"/>
    <w:rsid w:val="35D17A5F"/>
    <w:rsid w:val="3684ED2F"/>
    <w:rsid w:val="38119E00"/>
    <w:rsid w:val="388EF778"/>
    <w:rsid w:val="38F210DE"/>
    <w:rsid w:val="3AEB3684"/>
    <w:rsid w:val="3C9D8178"/>
    <w:rsid w:val="3E2FFDEE"/>
    <w:rsid w:val="3E692C8F"/>
    <w:rsid w:val="3F1F8265"/>
    <w:rsid w:val="428EB81E"/>
    <w:rsid w:val="42D0BBD2"/>
    <w:rsid w:val="432A1D42"/>
    <w:rsid w:val="43CDA58A"/>
    <w:rsid w:val="44754A86"/>
    <w:rsid w:val="463746EC"/>
    <w:rsid w:val="4669770B"/>
    <w:rsid w:val="48535985"/>
    <w:rsid w:val="48E7827A"/>
    <w:rsid w:val="49127EAB"/>
    <w:rsid w:val="4961CBF9"/>
    <w:rsid w:val="499E587D"/>
    <w:rsid w:val="4B04D9C5"/>
    <w:rsid w:val="4C1E2ADA"/>
    <w:rsid w:val="4DC4F427"/>
    <w:rsid w:val="4DFDB003"/>
    <w:rsid w:val="50085454"/>
    <w:rsid w:val="5012330A"/>
    <w:rsid w:val="51662F2F"/>
    <w:rsid w:val="52F3D5AF"/>
    <w:rsid w:val="54244EB5"/>
    <w:rsid w:val="548F9DF2"/>
    <w:rsid w:val="54E05984"/>
    <w:rsid w:val="54ED9D4E"/>
    <w:rsid w:val="55A11997"/>
    <w:rsid w:val="57310436"/>
    <w:rsid w:val="58069CDC"/>
    <w:rsid w:val="5913C44A"/>
    <w:rsid w:val="59C58415"/>
    <w:rsid w:val="59D46A45"/>
    <w:rsid w:val="5B7523F3"/>
    <w:rsid w:val="5BA6DF60"/>
    <w:rsid w:val="5C5D88A4"/>
    <w:rsid w:val="5D1B2D42"/>
    <w:rsid w:val="5F6979DB"/>
    <w:rsid w:val="5F91BEE9"/>
    <w:rsid w:val="6022FBC4"/>
    <w:rsid w:val="6213AE75"/>
    <w:rsid w:val="62B97E73"/>
    <w:rsid w:val="63093026"/>
    <w:rsid w:val="63166EAF"/>
    <w:rsid w:val="637078E6"/>
    <w:rsid w:val="63E031C0"/>
    <w:rsid w:val="643A8C27"/>
    <w:rsid w:val="66628612"/>
    <w:rsid w:val="66696FAA"/>
    <w:rsid w:val="66741FD5"/>
    <w:rsid w:val="66E06D78"/>
    <w:rsid w:val="680FCABB"/>
    <w:rsid w:val="68C2B8A2"/>
    <w:rsid w:val="69B0B9DE"/>
    <w:rsid w:val="69F29DF2"/>
    <w:rsid w:val="6A243CF0"/>
    <w:rsid w:val="6A74C4E9"/>
    <w:rsid w:val="6AB82642"/>
    <w:rsid w:val="6AD2D95C"/>
    <w:rsid w:val="6D08A753"/>
    <w:rsid w:val="6D4E576A"/>
    <w:rsid w:val="6D9A6EF5"/>
    <w:rsid w:val="6DDCF488"/>
    <w:rsid w:val="6EE15EB6"/>
    <w:rsid w:val="6F32BF24"/>
    <w:rsid w:val="6FF33734"/>
    <w:rsid w:val="700A29B6"/>
    <w:rsid w:val="702F7200"/>
    <w:rsid w:val="71F21A11"/>
    <w:rsid w:val="72F28631"/>
    <w:rsid w:val="731D662B"/>
    <w:rsid w:val="73456826"/>
    <w:rsid w:val="73912790"/>
    <w:rsid w:val="73BADE68"/>
    <w:rsid w:val="73DCA9BB"/>
    <w:rsid w:val="73E4A213"/>
    <w:rsid w:val="7443445B"/>
    <w:rsid w:val="746DCE3C"/>
    <w:rsid w:val="746FAAA7"/>
    <w:rsid w:val="7524F4FE"/>
    <w:rsid w:val="78AD17B9"/>
    <w:rsid w:val="7924F022"/>
    <w:rsid w:val="798BEA02"/>
    <w:rsid w:val="7B15A43B"/>
    <w:rsid w:val="7C88D45C"/>
    <w:rsid w:val="7DBE668F"/>
    <w:rsid w:val="7FB9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33B3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D61"/>
    <w:pPr>
      <w:ind w:left="720"/>
      <w:contextualSpacing/>
    </w:pPr>
  </w:style>
  <w:style w:type="paragraph" w:customStyle="1" w:styleId="Default">
    <w:name w:val="Default"/>
    <w:rsid w:val="00E06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 Corporate Document" ma:contentTypeID="0x010100EDFE3A973432B34083CFD01F0DFDAA9B001789C05AF1AE19488C400369910DEA5C" ma:contentTypeVersion="18" ma:contentTypeDescription="Content Type for Corporate Sites" ma:contentTypeScope="" ma:versionID="802be56dc1a441bcf7a7329c79d95775">
  <xsd:schema xmlns:xsd="http://www.w3.org/2001/XMLSchema" xmlns:xs="http://www.w3.org/2001/XMLSchema" xmlns:p="http://schemas.microsoft.com/office/2006/metadata/properties" xmlns:ns2="1a3e8857-dc64-4ebc-a792-285a74b64f01" xmlns:ns3="38209d67-e23c-4bbb-8215-c10de372bb82" targetNamespace="http://schemas.microsoft.com/office/2006/metadata/properties" ma:root="true" ma:fieldsID="025240786d7f6d3f2ae542b05e2e2002" ns2:_="" ns3:_="">
    <xsd:import namespace="1a3e8857-dc64-4ebc-a792-285a74b64f01"/>
    <xsd:import namespace="38209d67-e23c-4bbb-8215-c10de372bb82"/>
    <xsd:element name="properties">
      <xsd:complexType>
        <xsd:sequence>
          <xsd:element name="documentManagement">
            <xsd:complexType>
              <xsd:all>
                <xsd:element ref="ns2:ini_default_created_by" minOccurs="0"/>
                <xsd:element ref="ns2:meridio_created_by" minOccurs="0"/>
                <xsd:element ref="ns2:Intapp_From" minOccurs="0"/>
                <xsd:element ref="ns2:Intapp_DateReceiv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8857-dc64-4ebc-a792-285a74b64f01" elementFormDefault="qualified">
    <xsd:import namespace="http://schemas.microsoft.com/office/2006/documentManagement/types"/>
    <xsd:import namespace="http://schemas.microsoft.com/office/infopath/2007/PartnerControls"/>
    <xsd:element name="ini_default_created_by" ma:index="10" nillable="true" ma:displayName="Created By User Name" ma:default="ECM User" ma:description="Text field to default to the Created By user, for use in calculated From field" ma:internalName="ini_default_created_by">
      <xsd:simpleType>
        <xsd:restriction base="dms:Text">
          <xsd:maxLength value="255"/>
        </xsd:restriction>
      </xsd:simpleType>
    </xsd:element>
    <xsd:element name="meridio_created_by" ma:index="11" nillable="true" ma:displayName="Meridio Created By" ma:internalName="meridio_created_by" ma:readOnly="true">
      <xsd:simpleType>
        <xsd:restriction base="dms:Text"/>
      </xsd:simpleType>
    </xsd:element>
    <xsd:element name="Intapp_From" ma:index="12" nillable="true" ma:displayName="From" ma:internalName="Intapp_From">
      <xsd:simpleType>
        <xsd:restriction base="dms:Text">
          <xsd:maxLength value="255"/>
        </xsd:restriction>
      </xsd:simpleType>
    </xsd:element>
    <xsd:element name="Intapp_DateReceived" ma:index="13" nillable="true" ma:displayName="Date Received" ma:format="DateTime" ma:internalName="Intapp_Date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9d67-e23c-4bbb-8215-c10de372bb8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_default_created_by xmlns="1a3e8857-dc64-4ebc-a792-285a74b64f01">Maibh Shiels</ini_default_created_by>
    <Intapp_From xmlns="1a3e8857-dc64-4ebc-a792-285a74b64f01" xsi:nil="true"/>
    <Intapp_DateReceived xmlns="1a3e8857-dc64-4ebc-a792-285a74b64f01" xsi:nil="true"/>
    <_dlc_DocId xmlns="38209d67-e23c-4bbb-8215-c10de372bb82">ZHEVWP62EXNE-291764809-338</_dlc_DocId>
    <_dlc_DocIdUrl xmlns="38209d67-e23c-4bbb-8215-c10de372bb82">
      <Url>https://investni.sharepoint.com/sites/COM/_layouts/15/DocIdRedir.aspx?ID=ZHEVWP62EXNE-291764809-338</Url>
      <Description>ZHEVWP62EXNE-291764809-338</Description>
    </_dlc_DocIdUrl>
  </documentManagement>
</p:properties>
</file>

<file path=customXml/item5.xml><?xml version="1.0" encoding="utf-8"?>
<?mso-contentType ?>
<SharedContentType xmlns="Microsoft.SharePoint.Taxonomy.ContentTypeSync" SourceId="e5ff7883-e9ad-47da-b7a9-b64fe1b1d849" ContentTypeId="0x010100EDFE3A973432B34083CFD01F0DFDAA9B" PreviousValue="false"/>
</file>

<file path=customXml/itemProps1.xml><?xml version="1.0" encoding="utf-8"?>
<ds:datastoreItem xmlns:ds="http://schemas.openxmlformats.org/officeDocument/2006/customXml" ds:itemID="{5D830316-9B1D-4D0A-B805-119624571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F1E85-ED60-424F-BCCC-F313F610F90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ACF408-8691-46BE-9E06-5516BB2EF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8857-dc64-4ebc-a792-285a74b64f01"/>
    <ds:schemaRef ds:uri="38209d67-e23c-4bbb-8215-c10de372b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07E2C-1E8E-4CEF-B401-0635B636A137}">
  <ds:schemaRefs>
    <ds:schemaRef ds:uri="http://schemas.microsoft.com/office/2006/metadata/properties"/>
    <ds:schemaRef ds:uri="http://schemas.microsoft.com/office/infopath/2007/PartnerControls"/>
    <ds:schemaRef ds:uri="1a3e8857-dc64-4ebc-a792-285a74b64f01"/>
    <ds:schemaRef ds:uri="38209d67-e23c-4bbb-8215-c10de372bb82"/>
  </ds:schemaRefs>
</ds:datastoreItem>
</file>

<file path=customXml/itemProps5.xml><?xml version="1.0" encoding="utf-8"?>
<ds:datastoreItem xmlns:ds="http://schemas.openxmlformats.org/officeDocument/2006/customXml" ds:itemID="{5E58EC1D-303E-44C5-9D00-C6310F4CA90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1969</Words>
  <Characters>9492</Characters>
  <Application>Microsoft Office Word</Application>
  <DocSecurity>0</DocSecurity>
  <Lines>231</Lines>
  <Paragraphs>139</Paragraphs>
  <ScaleCrop>false</ScaleCrop>
  <Company>Invest Northern Ireland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Frances Privilege</cp:lastModifiedBy>
  <cp:revision>2</cp:revision>
  <dcterms:created xsi:type="dcterms:W3CDTF">2026-04-02T14:54:00Z</dcterms:created>
  <dcterms:modified xsi:type="dcterms:W3CDTF">2026-04-02T14:54:00Z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0x010100EDFE3A973432B34083CFD01F0DFDAA9B001789C05AF1AE19488C400369910DEA5C</vt:lpwstr>
  </property>
  <property fmtid="{D5CDD505-2E9C-101B-9397-08002B2CF9AE}" pid="3" name="docLang">
    <vt:lpwstr>en</vt:lpwstr>
  </property>
  <property fmtid="{D5CDD505-2E9C-101B-9397-08002B2CF9AE}" pid="4" name="_dlc_DocIdItemGuid">
    <vt:lpwstr>06fc2193-6dfb-4cbc-ac96-9f9a82a1b9b6</vt:lpwstr>
  </property>
</Properties>
</file>